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6B" w:rsidRDefault="00E2366B" w:rsidP="00E2366B">
      <w:pPr>
        <w:rPr>
          <w:b/>
          <w:sz w:val="32"/>
          <w:szCs w:val="32"/>
        </w:rPr>
      </w:pPr>
      <w:bookmarkStart w:id="0" w:name="_GoBack"/>
      <w:bookmarkEnd w:id="0"/>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rPr>
        <w:drawing>
          <wp:inline distT="0" distB="0" distL="0" distR="0" wp14:anchorId="13CD04FC" wp14:editId="3B44F97C">
            <wp:extent cx="1082040" cy="956945"/>
            <wp:effectExtent l="0" t="0" r="381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956945"/>
                    </a:xfrm>
                    <a:prstGeom prst="rect">
                      <a:avLst/>
                    </a:prstGeom>
                    <a:noFill/>
                  </pic:spPr>
                </pic:pic>
              </a:graphicData>
            </a:graphic>
          </wp:inline>
        </w:drawing>
      </w:r>
    </w:p>
    <w:p w:rsidR="00E2366B" w:rsidRDefault="00E2366B" w:rsidP="00E2366B">
      <w:pPr>
        <w:rPr>
          <w:b/>
          <w:sz w:val="32"/>
          <w:szCs w:val="32"/>
        </w:rPr>
      </w:pPr>
    </w:p>
    <w:p w:rsidR="00E2366B" w:rsidRDefault="00E2366B" w:rsidP="00E2366B">
      <w:pPr>
        <w:rPr>
          <w:b/>
          <w:sz w:val="52"/>
          <w:szCs w:val="52"/>
        </w:rPr>
      </w:pPr>
    </w:p>
    <w:p w:rsidR="00E2366B" w:rsidRDefault="00E2366B" w:rsidP="00E2366B">
      <w:pPr>
        <w:rPr>
          <w:b/>
          <w:sz w:val="52"/>
          <w:szCs w:val="52"/>
        </w:rPr>
      </w:pPr>
    </w:p>
    <w:p w:rsidR="00E2366B" w:rsidRDefault="00E2366B" w:rsidP="00E2366B">
      <w:pPr>
        <w:rPr>
          <w:b/>
          <w:sz w:val="52"/>
          <w:szCs w:val="52"/>
        </w:rPr>
      </w:pPr>
    </w:p>
    <w:p w:rsidR="00E2366B" w:rsidRDefault="00E2366B" w:rsidP="00E2366B">
      <w:pPr>
        <w:rPr>
          <w:b/>
          <w:sz w:val="52"/>
          <w:szCs w:val="52"/>
        </w:rPr>
      </w:pPr>
    </w:p>
    <w:p w:rsidR="00E2366B" w:rsidRDefault="00E2366B" w:rsidP="00E2366B">
      <w:pPr>
        <w:rPr>
          <w:sz w:val="44"/>
          <w:szCs w:val="44"/>
        </w:rPr>
      </w:pPr>
      <w:r w:rsidRPr="00E2366B">
        <w:rPr>
          <w:sz w:val="44"/>
          <w:szCs w:val="44"/>
        </w:rPr>
        <w:t xml:space="preserve">Klar til å organisere meningsfull yrkesopplæring for elever med ulike yrkesinteresser? </w:t>
      </w:r>
    </w:p>
    <w:p w:rsidR="00E2366B" w:rsidRPr="00E2366B" w:rsidRDefault="00E2366B" w:rsidP="00E2366B">
      <w:pPr>
        <w:pStyle w:val="Listeavsnitt"/>
        <w:numPr>
          <w:ilvl w:val="0"/>
          <w:numId w:val="5"/>
        </w:numPr>
        <w:rPr>
          <w:sz w:val="28"/>
          <w:szCs w:val="28"/>
        </w:rPr>
      </w:pPr>
      <w:r w:rsidRPr="00E2366B">
        <w:rPr>
          <w:sz w:val="28"/>
          <w:szCs w:val="28"/>
        </w:rPr>
        <w:t xml:space="preserve">En undersøkelse blant avgangsstudenter ved PPU og YFL ved Høgskolen i </w:t>
      </w:r>
      <w:r>
        <w:rPr>
          <w:sz w:val="28"/>
          <w:szCs w:val="28"/>
        </w:rPr>
        <w:t xml:space="preserve">Oslo og </w:t>
      </w:r>
      <w:r w:rsidRPr="00E2366B">
        <w:rPr>
          <w:sz w:val="28"/>
          <w:szCs w:val="28"/>
        </w:rPr>
        <w:t>Akershus</w:t>
      </w:r>
    </w:p>
    <w:p w:rsidR="00E2366B" w:rsidRDefault="00E2366B" w:rsidP="00E2366B">
      <w:pPr>
        <w:rPr>
          <w:b/>
          <w:sz w:val="32"/>
          <w:szCs w:val="32"/>
        </w:rPr>
      </w:pPr>
    </w:p>
    <w:p w:rsidR="00E2366B" w:rsidRDefault="00E2366B" w:rsidP="00E2366B">
      <w:pPr>
        <w:rPr>
          <w:sz w:val="32"/>
          <w:szCs w:val="32"/>
        </w:rPr>
      </w:pPr>
    </w:p>
    <w:p w:rsidR="00E2366B" w:rsidRDefault="00E2366B" w:rsidP="00E2366B">
      <w:pPr>
        <w:rPr>
          <w:sz w:val="32"/>
          <w:szCs w:val="32"/>
        </w:rPr>
      </w:pPr>
    </w:p>
    <w:p w:rsidR="00E2366B" w:rsidRPr="00E2366B" w:rsidRDefault="00E2366B" w:rsidP="00E2366B">
      <w:pPr>
        <w:rPr>
          <w:b/>
          <w:sz w:val="32"/>
          <w:szCs w:val="32"/>
        </w:rPr>
      </w:pPr>
      <w:r w:rsidRPr="004457E6">
        <w:rPr>
          <w:sz w:val="32"/>
          <w:szCs w:val="32"/>
        </w:rPr>
        <w:t>Halvor Spetalen</w:t>
      </w:r>
    </w:p>
    <w:p w:rsidR="00E2366B" w:rsidRDefault="00E2366B" w:rsidP="00E2366B">
      <w:pPr>
        <w:rPr>
          <w:sz w:val="32"/>
          <w:szCs w:val="32"/>
        </w:rPr>
      </w:pPr>
    </w:p>
    <w:p w:rsidR="00E2366B" w:rsidRPr="00E2366B" w:rsidRDefault="00E2366B" w:rsidP="00E2366B">
      <w:pPr>
        <w:rPr>
          <w:sz w:val="32"/>
          <w:szCs w:val="32"/>
        </w:rPr>
      </w:pPr>
      <w:r w:rsidRPr="00E2366B">
        <w:rPr>
          <w:sz w:val="32"/>
          <w:szCs w:val="32"/>
        </w:rPr>
        <w:t>Yrkesfaglærerutdanning i restaurant- og matfag</w:t>
      </w:r>
    </w:p>
    <w:p w:rsidR="00E2366B" w:rsidRDefault="00E2366B" w:rsidP="00E2366B"/>
    <w:p w:rsidR="00E2366B" w:rsidRPr="004457E6" w:rsidRDefault="00E2366B" w:rsidP="00E2366B">
      <w:pPr>
        <w:rPr>
          <w:sz w:val="32"/>
          <w:szCs w:val="32"/>
        </w:rPr>
      </w:pPr>
      <w:r w:rsidRPr="004457E6">
        <w:rPr>
          <w:sz w:val="32"/>
          <w:szCs w:val="32"/>
        </w:rPr>
        <w:t>Høgskolen i Oslo og Akershus</w:t>
      </w:r>
    </w:p>
    <w:p w:rsidR="00E2366B" w:rsidRDefault="00E2366B" w:rsidP="00E2366B">
      <w:pPr>
        <w:rPr>
          <w:sz w:val="32"/>
          <w:szCs w:val="32"/>
        </w:rPr>
      </w:pPr>
    </w:p>
    <w:p w:rsidR="00E2366B" w:rsidRPr="004457E6" w:rsidRDefault="00DE2BCA" w:rsidP="00E2366B">
      <w:pPr>
        <w:rPr>
          <w:sz w:val="32"/>
          <w:szCs w:val="32"/>
        </w:rPr>
      </w:pPr>
      <w:r>
        <w:rPr>
          <w:sz w:val="32"/>
          <w:szCs w:val="32"/>
        </w:rPr>
        <w:t>Februar</w:t>
      </w:r>
      <w:r w:rsidR="00E2366B">
        <w:rPr>
          <w:sz w:val="32"/>
          <w:szCs w:val="32"/>
        </w:rPr>
        <w:t xml:space="preserve"> 2014</w:t>
      </w: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Default="00E2366B" w:rsidP="00E2366B">
      <w:pPr>
        <w:rPr>
          <w:b/>
        </w:rPr>
      </w:pPr>
    </w:p>
    <w:p w:rsidR="00E2366B" w:rsidRPr="00E2366B" w:rsidRDefault="00E2366B" w:rsidP="00E2366B">
      <w:pPr>
        <w:pStyle w:val="Overskrift1"/>
        <w:rPr>
          <w:sz w:val="32"/>
          <w:szCs w:val="32"/>
        </w:rPr>
      </w:pPr>
      <w:r w:rsidRPr="00E2366B">
        <w:rPr>
          <w:sz w:val="32"/>
          <w:szCs w:val="32"/>
        </w:rPr>
        <w:lastRenderedPageBreak/>
        <w:t>Innledning</w:t>
      </w:r>
    </w:p>
    <w:p w:rsidR="00E2366B" w:rsidRDefault="00E2366B" w:rsidP="008018EE">
      <w:pPr>
        <w:spacing w:line="276" w:lineRule="auto"/>
      </w:pPr>
    </w:p>
    <w:p w:rsidR="008018EE" w:rsidRPr="00E95805" w:rsidRDefault="008018EE" w:rsidP="008018EE">
      <w:pPr>
        <w:spacing w:line="276" w:lineRule="auto"/>
      </w:pPr>
      <w:r w:rsidRPr="00E95805">
        <w:t>Den skolebaserte yrkesopplæringen har siden av midten av 1990 tallet endret karakter med he</w:t>
      </w:r>
      <w:r>
        <w:t>nsyn til grad av spesialisering</w:t>
      </w:r>
      <w:r w:rsidRPr="00E95805">
        <w:t xml:space="preserve"> </w:t>
      </w:r>
      <w:r w:rsidRPr="00E95805">
        <w:fldChar w:fldCharType="begin"/>
      </w:r>
      <w:r>
        <w:instrText xml:space="preserve"> ADDIN EN.CITE &lt;EndNote&gt;&lt;Cite&gt;&lt;Author&gt;Deichman-Sørensen&lt;/Author&gt;&lt;Year&gt;2009&lt;/Year&gt;&lt;RecNum&gt;278&lt;/RecNum&gt;&lt;DisplayText&gt;(Deichman-Sørensen, 2009)&lt;/DisplayText&gt;&lt;record&gt;&lt;rec-number&gt;278&lt;/rec-number&gt;&lt;foreign-keys&gt;&lt;key app="EN" db-id="rf0wv9rrjf9xsmefvzh5dday5zxttff0tws2"&gt;278&lt;/key&gt;&lt;/foreign-keys&gt;&lt;ref-type name="Book"&gt;6&lt;/ref-type&gt;&lt;contributors&gt;&lt;authors&gt;&lt;author&gt;Deichman-Sørensen, Trine&lt;/author&gt;&lt;/authors&gt;&lt;/contributors&gt;&lt;titles&gt;&lt;title&gt;Hvor går norsk fag- og yrkesopplæring?: om modernisering, organisering og styring av fag- og yrkesopplæringen i Norge : utvalgte momenter for yrkesfaglærere&lt;/title&gt;&lt;secondary-title&gt;Småskrift&lt;/secondary-title&gt;&lt;/titles&gt;&lt;volume&gt;nr 3/2009&lt;/volume&gt;&lt;keywords&gt;&lt;keyword&gt;fagopplæring&lt;/keyword&gt;&lt;keyword&gt;yrkesopplæring&lt;/keyword&gt;&lt;keyword&gt;yrkesutdanning&lt;/keyword&gt;&lt;keyword&gt;yrkesfag&lt;/keyword&gt;&lt;keyword&gt;videregående&lt;/keyword&gt;&lt;keyword&gt;opplæring&lt;/keyword&gt;&lt;keyword&gt;utdanning&lt;/keyword&gt;&lt;keyword&gt;fagutdanning&lt;/keyword&gt;&lt;keyword&gt;arbeidsliv&lt;/keyword&gt;&lt;keyword&gt;modernisering&lt;/keyword&gt;&lt;keyword&gt;reformer&lt;/keyword&gt;&lt;keyword&gt;historie&lt;/keyword&gt;&lt;keyword&gt;evaluering&lt;/keyword&gt;&lt;keyword&gt;reform&lt;/keyword&gt;&lt;keyword&gt;94&lt;/keyword&gt;&lt;keyword&gt;kunnskapsløftet&lt;/keyword&gt;&lt;/keywords&gt;&lt;dates&gt;&lt;year&gt;2009&lt;/year&gt;&lt;/dates&gt;&lt;pub-location&gt;Lillestrøm&lt;/pub-location&gt;&lt;publisher&gt;Høgskolen&lt;/publisher&gt;&lt;urls&gt;&lt;/urls&gt;&lt;/record&gt;&lt;/Cite&gt;&lt;/EndNote&gt;</w:instrText>
      </w:r>
      <w:r w:rsidRPr="00E95805">
        <w:fldChar w:fldCharType="separate"/>
      </w:r>
      <w:r>
        <w:rPr>
          <w:noProof/>
        </w:rPr>
        <w:t>(</w:t>
      </w:r>
      <w:hyperlink w:anchor="_ENREF_4" w:tooltip="Deichman-Sørensen, 2009 #278" w:history="1">
        <w:r>
          <w:rPr>
            <w:noProof/>
          </w:rPr>
          <w:t>Deichman-Sørensen, 2009</w:t>
        </w:r>
      </w:hyperlink>
      <w:r>
        <w:rPr>
          <w:noProof/>
        </w:rPr>
        <w:t>)</w:t>
      </w:r>
      <w:r w:rsidRPr="00E95805">
        <w:fldChar w:fldCharType="end"/>
      </w:r>
      <w:r w:rsidRPr="00E95805">
        <w:t>.</w:t>
      </w:r>
      <w:r>
        <w:t xml:space="preserve"> Et utdanningsprogram som for eksempel TIP har over 50 fagområder integrert i Vg1.</w:t>
      </w:r>
      <w:r w:rsidRPr="00E95805">
        <w:t xml:space="preserve"> Dette får betydning for </w:t>
      </w:r>
      <w:r>
        <w:t>alle yrkesfaglærere</w:t>
      </w:r>
      <w:r w:rsidRPr="00E95805">
        <w:t xml:space="preserve"> som skal lede den skolebaserte yrkesopplæringen. Fra å kunne overføre sine yrkesspesifikke kunnskaper, holdninger og ferdigheter til elevene innenfor sitt eget fagfelt, blir læreren nå en </w:t>
      </w:r>
      <w:r w:rsidRPr="00E95805">
        <w:rPr>
          <w:i/>
        </w:rPr>
        <w:t>tilrettelegger</w:t>
      </w:r>
      <w:r w:rsidRPr="00E95805">
        <w:t xml:space="preserve"> av læringsaktiviteter uten nødvendigvis å besitte </w:t>
      </w:r>
      <w:r>
        <w:t>en yrkesspesifikk kompetanse</w:t>
      </w:r>
      <w:r w:rsidRPr="00E95805">
        <w:t xml:space="preserve"> i hvert av utdanningsprogrammet</w:t>
      </w:r>
      <w:r>
        <w:t>s</w:t>
      </w:r>
      <w:r w:rsidRPr="00E95805">
        <w:t xml:space="preserve"> </w:t>
      </w:r>
      <w:r>
        <w:t>fagområder</w:t>
      </w:r>
      <w:r w:rsidRPr="00E95805">
        <w:t>. Det etterspørres derfor yrkesfaglærere som er mindre fagspesialisert og</w:t>
      </w:r>
      <w:r>
        <w:t xml:space="preserve"> en undervisningsform som er </w:t>
      </w:r>
      <w:r w:rsidRPr="00E95805">
        <w:t xml:space="preserve">mer tilretteleggende i formen </w:t>
      </w:r>
      <w:r w:rsidRPr="00E95805">
        <w:fldChar w:fldCharType="begin"/>
      </w:r>
      <w:r w:rsidRPr="00E95805">
        <w:instrText xml:space="preserve"> ADDIN EN.CITE &lt;EndNote&gt;&lt;Cite&gt;&lt;Author&gt;St.meld. nr. 11 (2008-2009)&lt;/Author&gt;&lt;RecNum&gt;92&lt;/RecNum&gt;&lt;DisplayText&gt;(St.meld. nr. 11 (2008-2009))&lt;/DisplayText&gt;&lt;record&gt;&lt;rec-number&gt;92&lt;/rec-number&gt;&lt;foreign-keys&gt;&lt;key app="EN" db-id="rf0wv9rrjf9xsmefvzh5dday5zxttff0tws2"&gt;92&lt;/key&gt;&lt;/foreign-keys&gt;&lt;ref-type name="Government Document"&gt;46&lt;/ref-type&gt;&lt;contributors&gt;&lt;authors&gt;&lt;author&gt;St.meld. nr. 11 (2008-2009),&lt;/author&gt;&lt;/authors&gt;&lt;secondary-authors&gt;&lt;author&gt;Kunnskapsdepartementet&lt;/author&gt;&lt;/secondary-authors&gt;&lt;/contributors&gt;&lt;titles&gt;&lt;title&gt;Læreren Rollen og utdanningen&lt;/title&gt;&lt;/titles&gt;&lt;dates&gt;&lt;/dates&gt;&lt;pub-location&gt;Oslo&lt;/pub-location&gt;&lt;urls&gt;&lt;/urls&gt;&lt;/record&gt;&lt;/Cite&gt;&lt;/EndNote&gt;</w:instrText>
      </w:r>
      <w:r w:rsidRPr="00E95805">
        <w:fldChar w:fldCharType="separate"/>
      </w:r>
      <w:r w:rsidRPr="00E95805">
        <w:rPr>
          <w:noProof/>
        </w:rPr>
        <w:t>(</w:t>
      </w:r>
      <w:hyperlink w:anchor="_ENREF_10" w:tooltip="St.meld. nr. 11 (2008-2009),  #92" w:history="1">
        <w:r w:rsidRPr="00E95805">
          <w:rPr>
            <w:noProof/>
          </w:rPr>
          <w:t>St.meld. nr. 11 (2008-2009)</w:t>
        </w:r>
      </w:hyperlink>
      <w:r w:rsidRPr="00E95805">
        <w:rPr>
          <w:noProof/>
        </w:rPr>
        <w:t>)</w:t>
      </w:r>
      <w:r w:rsidRPr="00E95805">
        <w:fldChar w:fldCharType="end"/>
      </w:r>
      <w:r w:rsidRPr="00E95805">
        <w:t xml:space="preserve">. Dette er naturlig nok en utfordring for kommende yrkesfaglærere </w:t>
      </w:r>
      <w:r>
        <w:t xml:space="preserve">som ofte har spesialisert opplæring og arbeidserfaring innenfor sitt eget fagfelt, </w:t>
      </w:r>
      <w:r w:rsidRPr="00E95805">
        <w:t xml:space="preserve">og </w:t>
      </w:r>
      <w:r>
        <w:t xml:space="preserve">derfor </w:t>
      </w:r>
      <w:r w:rsidRPr="00E95805">
        <w:t xml:space="preserve">interessant å undersøke nærmere. </w:t>
      </w:r>
    </w:p>
    <w:p w:rsidR="008018EE" w:rsidRPr="00E95805" w:rsidRDefault="008018EE" w:rsidP="008018EE">
      <w:pPr>
        <w:spacing w:line="276" w:lineRule="auto"/>
      </w:pPr>
    </w:p>
    <w:p w:rsidR="008018EE" w:rsidRDefault="00E2366B" w:rsidP="008018EE">
      <w:pPr>
        <w:spacing w:line="276" w:lineRule="auto"/>
      </w:pPr>
      <w:r>
        <w:t>Institutt</w:t>
      </w:r>
      <w:r w:rsidR="008018EE" w:rsidRPr="00E95805">
        <w:t xml:space="preserve"> for yrkesfaglærerutdanning </w:t>
      </w:r>
      <w:r w:rsidR="008018EE">
        <w:t xml:space="preserve">ved Høgskolen i </w:t>
      </w:r>
      <w:r>
        <w:t xml:space="preserve">Oslo og </w:t>
      </w:r>
      <w:r w:rsidR="008018EE">
        <w:t xml:space="preserve">Akershus </w:t>
      </w:r>
      <w:r>
        <w:t xml:space="preserve">(HiOA) </w:t>
      </w:r>
      <w:r w:rsidR="008018EE">
        <w:t>har i da</w:t>
      </w:r>
      <w:r w:rsidR="008018EE" w:rsidRPr="00E95805">
        <w:t xml:space="preserve">g det største utdanningsmiljøet for yrkesfaglærere </w:t>
      </w:r>
      <w:r w:rsidR="008018EE">
        <w:t>i Norge og omfatter både ettårig PPU-y utdanning og en treårig yrkesfaglærerutdanning. Yrkesfa</w:t>
      </w:r>
      <w:r>
        <w:t>glærerutdanningen (YFL) ved HiOA dekker grovt sett 8</w:t>
      </w:r>
      <w:r w:rsidR="008018EE">
        <w:t xml:space="preserve"> av </w:t>
      </w:r>
      <w:r>
        <w:t xml:space="preserve">9 </w:t>
      </w:r>
      <w:r w:rsidR="008018EE">
        <w:t xml:space="preserve">utdanningsprogrammene i videregående skole: Design og håndverk, Helse og sosial, Restaurant- og matfag og </w:t>
      </w:r>
      <w:r w:rsidR="00DE465B">
        <w:t xml:space="preserve">ulike fagområder innenfor </w:t>
      </w:r>
      <w:r w:rsidR="008F4862">
        <w:t>tekniske utdanningsprogrammer i en samleklasse (TIP).</w:t>
      </w:r>
      <w:r w:rsidR="008018EE">
        <w:t xml:space="preserve"> </w:t>
      </w:r>
    </w:p>
    <w:p w:rsidR="008018EE" w:rsidRDefault="008018EE" w:rsidP="008018EE">
      <w:pPr>
        <w:spacing w:line="276" w:lineRule="auto"/>
      </w:pPr>
      <w:r>
        <w:t>Selv om det er fellestrekk så varierer de ulike yrkesfaglærerutdanningene og praktisk pedagogisk utdanning (PPU</w:t>
      </w:r>
      <w:r w:rsidR="00DE465B">
        <w:t>-y</w:t>
      </w:r>
      <w:r>
        <w:t>) med hensyn til hvordan de er organisert og valg av innhold og læringsaktiviteter. De mellom 270-300 studentene som hvert år uteksamineres fra YFL og PPU-y har derfor gjennomført ganske ulike utdanningsløp selv om alle kvalifiseres som yrkesfaglærere.</w:t>
      </w:r>
    </w:p>
    <w:p w:rsidR="008018EE" w:rsidRDefault="008018EE" w:rsidP="008018EE">
      <w:pPr>
        <w:spacing w:line="276" w:lineRule="auto"/>
      </w:pPr>
    </w:p>
    <w:p w:rsidR="008018EE" w:rsidRDefault="008018EE" w:rsidP="008018EE">
      <w:pPr>
        <w:spacing w:line="276" w:lineRule="auto"/>
      </w:pPr>
      <w:r>
        <w:t xml:space="preserve">Med dette i bakhodet så er det interessant å stille spørsmålene: Hvilke mestringsforventning opplever kommende yrkesfaglærere til det å skulle bli en yrkesfaglærer som må organisere en meningsfull yrkesopplæring for elever med ulike yrkesinteresser? </w:t>
      </w:r>
      <w:r>
        <w:rPr>
          <w:i/>
        </w:rPr>
        <w:t>og</w:t>
      </w:r>
      <w:r>
        <w:t xml:space="preserve"> Er det noen sammenheng mellom denne mestringsforventningen og hvilke utdanning eller student</w:t>
      </w:r>
      <w:r w:rsidR="008F4862">
        <w:t>ene har gjennomført ved Institutt</w:t>
      </w:r>
      <w:r>
        <w:t xml:space="preserve"> for yrkesfaglærerutdanning, Høgskolen i </w:t>
      </w:r>
      <w:r w:rsidR="008F4862">
        <w:t xml:space="preserve">Oslo og </w:t>
      </w:r>
      <w:r>
        <w:t xml:space="preserve">Akershus?  Disse spørsmålene er spisset i problemformuleringen: </w:t>
      </w:r>
    </w:p>
    <w:p w:rsidR="008018EE" w:rsidRDefault="008018EE" w:rsidP="008018EE">
      <w:pPr>
        <w:spacing w:line="276" w:lineRule="auto"/>
        <w:rPr>
          <w:b/>
        </w:rPr>
      </w:pPr>
    </w:p>
    <w:p w:rsidR="008018EE" w:rsidRDefault="008018EE" w:rsidP="008018EE">
      <w:pPr>
        <w:spacing w:line="276" w:lineRule="auto"/>
        <w:rPr>
          <w:b/>
        </w:rPr>
      </w:pPr>
      <w:r>
        <w:rPr>
          <w:b/>
        </w:rPr>
        <w:t>Er det en statistisk sammenheng</w:t>
      </w:r>
      <w:r w:rsidRPr="00604B06">
        <w:rPr>
          <w:b/>
        </w:rPr>
        <w:t xml:space="preserve"> mellom studentenes</w:t>
      </w:r>
      <w:r>
        <w:rPr>
          <w:b/>
        </w:rPr>
        <w:t xml:space="preserve"> </w:t>
      </w:r>
      <w:r w:rsidRPr="00604B06">
        <w:rPr>
          <w:b/>
        </w:rPr>
        <w:t>mestringsforventning i forhold til å kunne organisere en meningsfull yrkesopplæring for elever med ulike yrkesinter</w:t>
      </w:r>
      <w:r>
        <w:rPr>
          <w:b/>
        </w:rPr>
        <w:t xml:space="preserve">esser og den </w:t>
      </w:r>
      <w:r w:rsidRPr="00604B06">
        <w:rPr>
          <w:b/>
        </w:rPr>
        <w:t>utdanningen</w:t>
      </w:r>
      <w:r w:rsidR="008F4862">
        <w:rPr>
          <w:b/>
        </w:rPr>
        <w:t xml:space="preserve"> de har gjennomført ved Institutt</w:t>
      </w:r>
      <w:r w:rsidRPr="00604B06">
        <w:rPr>
          <w:b/>
        </w:rPr>
        <w:t xml:space="preserve"> for yrkesfaglærerutdanning, Høgskolen i </w:t>
      </w:r>
      <w:r w:rsidR="008F4862">
        <w:rPr>
          <w:b/>
        </w:rPr>
        <w:t xml:space="preserve">Oslo og </w:t>
      </w:r>
      <w:r w:rsidRPr="00604B06">
        <w:rPr>
          <w:b/>
        </w:rPr>
        <w:t>Akershus?</w:t>
      </w:r>
    </w:p>
    <w:p w:rsidR="008018EE" w:rsidRDefault="008018EE" w:rsidP="008018EE">
      <w:pPr>
        <w:spacing w:line="276" w:lineRule="auto"/>
      </w:pPr>
    </w:p>
    <w:p w:rsidR="008018EE" w:rsidRPr="009B1711" w:rsidRDefault="008018EE" w:rsidP="008018EE">
      <w:pPr>
        <w:spacing w:line="276" w:lineRule="auto"/>
      </w:pPr>
      <w:r>
        <w:t>Videre beskrives begreper som skal inngå i analysen, selve gjennomføringen av undersøkelsen, en analyse av materialet og presentasjon av resultater. Disse kommenteres før oppgaven konkluderes og problemformuleringen besvares.</w:t>
      </w:r>
    </w:p>
    <w:p w:rsidR="008018EE" w:rsidRPr="00ED1E98" w:rsidRDefault="008018EE" w:rsidP="008018EE">
      <w:pPr>
        <w:pStyle w:val="Overskrift1"/>
        <w:spacing w:line="276" w:lineRule="auto"/>
        <w:rPr>
          <w:sz w:val="32"/>
          <w:szCs w:val="32"/>
        </w:rPr>
      </w:pPr>
      <w:r w:rsidRPr="00ED1E98">
        <w:rPr>
          <w:sz w:val="32"/>
          <w:szCs w:val="32"/>
        </w:rPr>
        <w:t>Begreper som skal inngå i analysen</w:t>
      </w:r>
    </w:p>
    <w:p w:rsidR="008018EE" w:rsidRPr="00E95805" w:rsidRDefault="008018EE" w:rsidP="008018EE">
      <w:pPr>
        <w:spacing w:line="276" w:lineRule="auto"/>
      </w:pPr>
      <w:r w:rsidRPr="00E95805">
        <w:t>I dette kapittelet vil jeg kort presentere viktige begreper som anvendes i undersøkelsen. Det</w:t>
      </w:r>
      <w:r>
        <w:t xml:space="preserve">te er begrepene </w:t>
      </w:r>
      <w:r w:rsidRPr="009B1711">
        <w:rPr>
          <w:i/>
        </w:rPr>
        <w:t>meningsfull yrkesopplæring</w:t>
      </w:r>
      <w:r w:rsidRPr="00E95805">
        <w:t xml:space="preserve"> og </w:t>
      </w:r>
      <w:r w:rsidRPr="009B1711">
        <w:rPr>
          <w:i/>
        </w:rPr>
        <w:t>mestringsforventning</w:t>
      </w:r>
      <w:r w:rsidRPr="00E95805">
        <w:t xml:space="preserve">. </w:t>
      </w:r>
      <w:r>
        <w:t>Presentasjonen</w:t>
      </w:r>
      <w:r w:rsidRPr="00E95805">
        <w:t xml:space="preserve"> er på ingen måte en fullst</w:t>
      </w:r>
      <w:r>
        <w:t>endig redegjørelse og diskusjon av</w:t>
      </w:r>
      <w:r w:rsidRPr="00E95805">
        <w:t xml:space="preserve"> </w:t>
      </w:r>
      <w:r>
        <w:t xml:space="preserve">disse </w:t>
      </w:r>
      <w:r w:rsidRPr="00E95805">
        <w:t>begrepene, men skal tjene som et utgangspunkt fo</w:t>
      </w:r>
      <w:r>
        <w:t>r operasjonalisering og</w:t>
      </w:r>
      <w:r w:rsidRPr="00E95805">
        <w:t xml:space="preserve"> item</w:t>
      </w:r>
      <w:r>
        <w:t>fomulering</w:t>
      </w:r>
      <w:r w:rsidRPr="00E95805">
        <w:t xml:space="preserve">. </w:t>
      </w:r>
    </w:p>
    <w:p w:rsidR="008018EE" w:rsidRPr="00E95805" w:rsidRDefault="008018EE" w:rsidP="008018EE">
      <w:pPr>
        <w:spacing w:line="276" w:lineRule="auto"/>
      </w:pPr>
    </w:p>
    <w:p w:rsidR="008018EE" w:rsidRPr="003238F4" w:rsidRDefault="008018EE" w:rsidP="008018EE">
      <w:pPr>
        <w:pStyle w:val="Undertittel"/>
        <w:spacing w:line="276" w:lineRule="auto"/>
        <w:rPr>
          <w:b/>
          <w:sz w:val="28"/>
          <w:szCs w:val="28"/>
        </w:rPr>
      </w:pPr>
      <w:r w:rsidRPr="003238F4">
        <w:rPr>
          <w:b/>
          <w:sz w:val="28"/>
          <w:szCs w:val="28"/>
        </w:rPr>
        <w:t>Meningsfull yrkesopplæring som interessedifferensiert yrkesforankring</w:t>
      </w:r>
    </w:p>
    <w:p w:rsidR="008018EE" w:rsidRDefault="00693C75" w:rsidP="008018EE">
      <w:pPr>
        <w:spacing w:line="276" w:lineRule="auto"/>
      </w:pPr>
      <w:r>
        <w:t>Som beskrevet i innledningen</w:t>
      </w:r>
      <w:r w:rsidR="008018EE" w:rsidRPr="00E95805">
        <w:t xml:space="preserve"> har organiseringen </w:t>
      </w:r>
      <w:r w:rsidR="008018EE">
        <w:t>(</w:t>
      </w:r>
      <w:r w:rsidR="008018EE" w:rsidRPr="00E95805">
        <w:t>og dermed opplæringen</w:t>
      </w:r>
      <w:r w:rsidR="008018EE">
        <w:t>)</w:t>
      </w:r>
      <w:r w:rsidR="008018EE" w:rsidRPr="00E95805">
        <w:t xml:space="preserve"> i de yrkesfaglige utdanningsprogrammene endret kara</w:t>
      </w:r>
      <w:r w:rsidR="008018EE">
        <w:t xml:space="preserve">kter. Fra å være fagspesialiserte kurs ble grunnkursene flerfaglige etter Reform 94, men etter innføringen av Kunnskapsløftet er også mange Vg2-kurs </w:t>
      </w:r>
      <w:r w:rsidR="008018EE" w:rsidRPr="00E95805">
        <w:t xml:space="preserve">satt sammen av flere fagområder. Vg2 </w:t>
      </w:r>
      <w:r w:rsidR="008018EE">
        <w:t>”</w:t>
      </w:r>
      <w:r w:rsidR="008018EE" w:rsidRPr="00E95805">
        <w:t>Matfag</w:t>
      </w:r>
      <w:r w:rsidR="008018EE">
        <w:t>” i utdanningsprogrammet R</w:t>
      </w:r>
      <w:r w:rsidR="008018EE" w:rsidRPr="00E95805">
        <w:t xml:space="preserve">estaurant- og matfag integrerer for eksempel 9 fag-/svennebrevområder. </w:t>
      </w:r>
    </w:p>
    <w:p w:rsidR="008018EE" w:rsidRDefault="008018EE" w:rsidP="008018EE">
      <w:pPr>
        <w:spacing w:line="276" w:lineRule="auto"/>
      </w:pPr>
    </w:p>
    <w:p w:rsidR="008018EE" w:rsidRDefault="008018EE" w:rsidP="008018EE">
      <w:pPr>
        <w:spacing w:line="276" w:lineRule="auto"/>
      </w:pPr>
      <w:r>
        <w:t>En utdypende diskusjon om hva begrepet meningsfull yrkesopplæring innebærer vil b</w:t>
      </w:r>
      <w:r w:rsidR="00693C75">
        <w:t>li for omfattende for en artikkel</w:t>
      </w:r>
      <w:r>
        <w:t xml:space="preserve"> som dette, men i min forståelse av begrepet så handler det om at elevene opplever opplæringen som relevant og meningsfull i forhold til deres yrkesinteresse. At eleven opplever opplæringen som relevant i forhold til egen yrkesinteresse er derfor ikke bare knyttet til kravet om tilpasset opplæring som gjelder hele det 13-årige løpet </w:t>
      </w:r>
      <w:r>
        <w:fldChar w:fldCharType="begin"/>
      </w:r>
      <w:r>
        <w:instrText xml:space="preserve"> ADDIN EN.CITE &lt;EndNote&gt;&lt;Cite&gt;&lt;Year&gt;2008 &lt;/Year&gt;&lt;RecNum&gt;294&lt;/RecNum&gt;&lt;Suffix&gt;`, § 1-3&lt;/Suffix&gt;&lt;DisplayText&gt;(&amp;quot;Lov om grunnskolen og den vidaregåande opplæringa (opplæringslova).&amp;quot;, 2008 , § 1-3)&lt;/DisplayText&gt;&lt;record&gt;&lt;rec-number&gt;294&lt;/rec-number&gt;&lt;foreign-keys&gt;&lt;key app="EN" db-id="rf0wv9rrjf9xsmefvzh5dday5zxttff0tws2"&gt;294&lt;/key&gt;&lt;/foreign-keys&gt;&lt;ref-type name="Legal Rule or Regulation"&gt;50&lt;/ref-type&gt;&lt;contributors&gt;&lt;/contributors&gt;&lt;titles&gt;&lt;title&gt;Lov om grunnskolen og den vidaregåande opplæringa (opplæringslova).&lt;/title&gt;&lt;/titles&gt;&lt;dates&gt;&lt;year&gt;2008 &lt;/year&gt;&lt;/dates&gt;&lt;pub-location&gt;Lovdata.no&lt;/pub-location&gt;&lt;urls&gt;&lt;/urls&gt;&lt;/record&gt;&lt;/Cite&gt;&lt;/EndNote&gt;</w:instrText>
      </w:r>
      <w:r>
        <w:fldChar w:fldCharType="separate"/>
      </w:r>
      <w:r>
        <w:rPr>
          <w:noProof/>
        </w:rPr>
        <w:t>(</w:t>
      </w:r>
      <w:hyperlink w:anchor="_ENREF_7" w:tooltip=", 2008  #294" w:history="1">
        <w:r>
          <w:rPr>
            <w:noProof/>
          </w:rPr>
          <w:t>"Lov om grunnskolen og den vidaregåande opplæringa (opplæringslova).", 2008 , § 1-3</w:t>
        </w:r>
      </w:hyperlink>
      <w:r>
        <w:rPr>
          <w:noProof/>
        </w:rPr>
        <w:t>)</w:t>
      </w:r>
      <w:r>
        <w:fldChar w:fldCharType="end"/>
      </w:r>
      <w:r>
        <w:t xml:space="preserve">, men spesielt knyttet til det særegne ved opplæringen i de yrkesfaglige utdanningsprogrammene. </w:t>
      </w:r>
    </w:p>
    <w:p w:rsidR="008018EE" w:rsidRDefault="008018EE" w:rsidP="008018EE">
      <w:pPr>
        <w:spacing w:line="276" w:lineRule="auto"/>
      </w:pPr>
      <w:r>
        <w:t xml:space="preserve"> </w:t>
      </w:r>
    </w:p>
    <w:p w:rsidR="008018EE" w:rsidRDefault="008018EE" w:rsidP="008018EE">
      <w:pPr>
        <w:spacing w:line="276" w:lineRule="auto"/>
      </w:pPr>
      <w:r>
        <w:t xml:space="preserve">Nettopp det særegne ved yrkesopplæringen har vært utgangspunktet for flere prosjekter som har arbeidet med spørsmålet om hvordan yrkesopplæringen kan gjøres relevant for elever med ulike yrkesinteresser. Gjennom doktorgradsarbeidet til Grete Haaland (Sund) i 2005 ble det utarbeidet en modell for hvordan en yrkesopplæring kan organiseres for å gjøre den meningsfull og relevant for elever med ulike yrkesinteresser </w:t>
      </w:r>
      <w:r>
        <w:fldChar w:fldCharType="begin"/>
      </w:r>
      <w:r>
        <w:instrText xml:space="preserve"> ADDIN EN.CITE &lt;EndNote&gt;&lt;Cite&gt;&lt;Author&gt;Sund&lt;/Author&gt;&lt;Year&gt;2005&lt;/Year&gt;&lt;RecNum&gt;69&lt;/RecNum&gt;&lt;Pages&gt;201&lt;/Pages&gt;&lt;DisplayText&gt;(Sund, 2005, p. 201)&lt;/DisplayText&gt;&lt;record&gt;&lt;rec-number&gt;69&lt;/rec-number&gt;&lt;foreign-keys&gt;&lt;key app="EN" db-id="rf0wv9rrjf9xsmefvzh5dday5zxttff0tws2"&gt;69&lt;/key&gt;&lt;/foreign-keys&gt;&lt;ref-type name="Thesis"&gt;32&lt;/ref-type&gt;&lt;contributors&gt;&lt;authors&gt;&lt;author&gt;Sund, Grete Haaland&lt;/author&gt;&lt;/authors&gt;&lt;/contributors&gt;&lt;titles&gt;&lt;title&gt;Forskjellighet og mangfold - muligheter eller begrensninger for individ og arbeidsplass?: et aksjonsforskningsprosjekt med studier av læring i daglig arbeid, gjennom medvirkning, demokratiske prosesser og interessedifferensiering&lt;/title&gt;&lt;/titles&gt;&lt;pages&gt;335 s.&lt;/pages&gt;&lt;keywords&gt;&lt;keyword&gt;fagopplæring&lt;/keyword&gt;&lt;keyword&gt;yrkesutdanning&lt;/keyword&gt;&lt;keyword&gt;yrkesfag&lt;/keyword&gt;&lt;keyword&gt;videregående&lt;/keyword&gt;&lt;keyword&gt;opplæring&lt;/keyword&gt;&lt;keyword&gt;utdanning&lt;/keyword&gt;&lt;keyword&gt;aksjonsforskning&lt;/keyword&gt;&lt;keyword&gt;læringsmiljø&lt;/keyword&gt;&lt;keyword&gt;læring&lt;/keyword&gt;&lt;keyword&gt;arbeidsmiljø&lt;/keyword&gt;&lt;keyword&gt;lærlinger&lt;/keyword&gt;&lt;keyword&gt;lærlingopplæring&lt;/keyword&gt;&lt;keyword&gt;læringsbehov&lt;/keyword&gt;&lt;keyword&gt;kompetanseutviklinglivslang&lt;/keyword&gt;&lt;keyword&gt;medvirkning&lt;/keyword&gt;&lt;keyword&gt;motivasjon&lt;/keyword&gt;&lt;keyword&gt;frisørutdanning&lt;/keyword&gt;&lt;keyword&gt;blomsterdekoratørutdanning&lt;/keyword&gt;&lt;keyword&gt;yrkesdidaktikk&lt;/keyword&gt;&lt;keyword&gt;utdanningspolitikk&lt;/keyword&gt;&lt;keyword&gt;formgivingsfag&lt;/keyword&gt;&lt;keyword&gt;formgivningsfag&lt;/keyword&gt;&lt;keyword&gt;frisørfaget&lt;/keyword&gt;&lt;keyword&gt;blomsterdekoratørfaget&lt;/keyword&gt;&lt;keyword&gt;differensiering&lt;/keyword&gt;&lt;/keywords&gt;&lt;dates&gt;&lt;year&gt;2005&lt;/year&gt;&lt;/dates&gt;&lt;pub-location&gt;Roskilde&lt;/pub-location&gt;&lt;publisher&gt;Roskilde Universitetscenter. Forskerskolen Livslang Læring&lt;/publisher&gt;&lt;urls&gt;&lt;/urls&gt;&lt;/record&gt;&lt;/Cite&gt;&lt;/EndNote&gt;</w:instrText>
      </w:r>
      <w:r>
        <w:fldChar w:fldCharType="separate"/>
      </w:r>
      <w:r>
        <w:rPr>
          <w:noProof/>
        </w:rPr>
        <w:t>(</w:t>
      </w:r>
      <w:hyperlink w:anchor="_ENREF_11" w:tooltip="Sund, 2005 #69" w:history="1">
        <w:r>
          <w:rPr>
            <w:noProof/>
          </w:rPr>
          <w:t>Sund, 2005, p. 201</w:t>
        </w:r>
      </w:hyperlink>
      <w:r>
        <w:rPr>
          <w:noProof/>
        </w:rPr>
        <w:t>)</w:t>
      </w:r>
      <w:r>
        <w:fldChar w:fldCharType="end"/>
      </w:r>
      <w:r>
        <w:t xml:space="preserve">. </w:t>
      </w:r>
    </w:p>
    <w:p w:rsidR="008018EE" w:rsidRDefault="008018EE" w:rsidP="008018EE">
      <w:pPr>
        <w:spacing w:line="276" w:lineRule="auto"/>
      </w:pPr>
      <w:r>
        <w:rPr>
          <w:noProof/>
        </w:rPr>
        <w:drawing>
          <wp:anchor distT="0" distB="0" distL="114300" distR="114300" simplePos="0" relativeHeight="251662336" behindDoc="1" locked="0" layoutInCell="1" allowOverlap="1">
            <wp:simplePos x="0" y="0"/>
            <wp:positionH relativeFrom="column">
              <wp:posOffset>14605</wp:posOffset>
            </wp:positionH>
            <wp:positionV relativeFrom="paragraph">
              <wp:posOffset>1270</wp:posOffset>
            </wp:positionV>
            <wp:extent cx="2743200" cy="2600325"/>
            <wp:effectExtent l="19050" t="0" r="0" b="0"/>
            <wp:wrapTight wrapText="bothSides">
              <wp:wrapPolygon edited="0">
                <wp:start x="-150" y="0"/>
                <wp:lineTo x="-150" y="21521"/>
                <wp:lineTo x="21600" y="21521"/>
                <wp:lineTo x="21600" y="0"/>
                <wp:lineTo x="-150" y="0"/>
              </wp:wrapPolygon>
            </wp:wrapTight>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3200" cy="2600325"/>
                    </a:xfrm>
                    <a:prstGeom prst="rect">
                      <a:avLst/>
                    </a:prstGeom>
                    <a:noFill/>
                    <a:ln w="9525">
                      <a:noFill/>
                      <a:miter lim="800000"/>
                      <a:headEnd/>
                      <a:tailEnd/>
                    </a:ln>
                  </pic:spPr>
                </pic:pic>
              </a:graphicData>
            </a:graphic>
          </wp:anchor>
        </w:drawing>
      </w:r>
    </w:p>
    <w:p w:rsidR="008018EE" w:rsidRDefault="008018EE" w:rsidP="008018EE">
      <w:pPr>
        <w:spacing w:line="276" w:lineRule="auto"/>
      </w:pPr>
      <w:r>
        <w:t xml:space="preserve">Modellen viser hvordan opplæringen kan </w:t>
      </w:r>
      <w:r w:rsidRPr="00171BE4">
        <w:rPr>
          <w:i/>
        </w:rPr>
        <w:t>interessedifferensieres</w:t>
      </w:r>
      <w:r>
        <w:t xml:space="preserve"> og </w:t>
      </w:r>
      <w:r w:rsidRPr="00171BE4">
        <w:rPr>
          <w:i/>
        </w:rPr>
        <w:t>yrkesforankres</w:t>
      </w:r>
      <w:r>
        <w:t xml:space="preserve">. Disse begrepene er etter hvert blitt utgangspunkt for den ”nye” yrkesdidaktikken som preger blant annet yrkesdidaktikken og den yrkesfaglige breddeutdanningen i yrkesfaglærerutdanningene ved </w:t>
      </w:r>
      <w:r w:rsidR="000A528A">
        <w:t>HiOA</w:t>
      </w:r>
      <w:r>
        <w:t xml:space="preserve">. Modellen har også vært et utgangspunkt for et aksjonsforskningsprosjekt som kan vise til økt motivasjon og fagkompetanse blant elevene som deltok </w:t>
      </w:r>
      <w:r>
        <w:fldChar w:fldCharType="begin"/>
      </w:r>
      <w:r>
        <w:instrText xml:space="preserve"> ADDIN EN.CITE &lt;EndNote&gt;&lt;Cite&gt;&lt;Author&gt;Dahlback&lt;/Author&gt;&lt;Year&gt;2010&lt;/Year&gt;&lt;RecNum&gt;291&lt;/RecNum&gt;&lt;DisplayText&gt;(Dahlback, Hansen, Haaland, &amp;amp; Sylte, 2010)&lt;/DisplayText&gt;&lt;record&gt;&lt;rec-number&gt;291&lt;/rec-number&gt;&lt;foreign-keys&gt;&lt;key app="EN" db-id="rf0wv9rrjf9xsmefvzh5dday5zxttff0tws2"&gt;291&lt;/key&gt;&lt;/foreign-keys&gt;&lt;ref-type name="Unpublished Work"&gt;34&lt;/ref-type&gt;&lt;contributors&gt;&lt;authors&gt;&lt;author&gt;Dahlback, Jorunn&lt;/author&gt;&lt;author&gt;Hansen, Kari&lt;/author&gt;&lt;author&gt;Grete Haaland&lt;/author&gt;&lt;author&gt;Sylte, Ann Lisa&lt;/author&gt;&lt;/authors&gt;&lt;/contributors&gt;&lt;titles&gt;&lt;title&gt;Veien til yrkesrelevant opplæring fra første dag i Vg1 : Sluttrapport&lt;/title&gt;&lt;/titles&gt;&lt;dates&gt;&lt;year&gt;2010&lt;/year&gt;&lt;/dates&gt;&lt;pub-location&gt;Kjeller&lt;/pub-location&gt;&lt;publisher&gt;Høgskolen i Akershus&lt;/publisher&gt;&lt;urls&gt;&lt;/urls&gt;&lt;/record&gt;&lt;/Cite&gt;&lt;/EndNote&gt;</w:instrText>
      </w:r>
      <w:r>
        <w:fldChar w:fldCharType="separate"/>
      </w:r>
      <w:r>
        <w:rPr>
          <w:noProof/>
        </w:rPr>
        <w:t>(</w:t>
      </w:r>
      <w:hyperlink w:anchor="_ENREF_3" w:tooltip="Dahlback, 2010 #291" w:history="1">
        <w:r>
          <w:rPr>
            <w:noProof/>
          </w:rPr>
          <w:t>Dahlback, Hansen, Haaland, &amp; Sylte, 2010</w:t>
        </w:r>
      </w:hyperlink>
      <w:r>
        <w:rPr>
          <w:noProof/>
        </w:rPr>
        <w:t>)</w:t>
      </w:r>
      <w:r>
        <w:fldChar w:fldCharType="end"/>
      </w:r>
      <w:r>
        <w:t xml:space="preserve">. En meningsfull yrkesopplæring for elever med ulike yrkesinteresser innebærer derfor i denne sammenhengen en interessedifferensiert og yrkesforankret opplæring med høy grad av elevmedvirkning i forhold til valg av temaer, faginnhold, arbeidsoppgaver og dokumentasjonsformer som er representative for de arbeidsoppgavene som er typiske for yrkesutøvelsen i de yrker elevene er interessert i å utdanne seg til. </w:t>
      </w:r>
    </w:p>
    <w:p w:rsidR="008018EE" w:rsidRDefault="008018EE" w:rsidP="008018EE">
      <w:pPr>
        <w:spacing w:line="276" w:lineRule="auto"/>
      </w:pPr>
    </w:p>
    <w:p w:rsidR="008018EE" w:rsidRPr="003238F4" w:rsidRDefault="008018EE" w:rsidP="008018EE">
      <w:pPr>
        <w:pStyle w:val="Undertittel"/>
        <w:spacing w:line="276" w:lineRule="auto"/>
        <w:rPr>
          <w:b/>
          <w:sz w:val="28"/>
          <w:szCs w:val="28"/>
        </w:rPr>
      </w:pPr>
      <w:r w:rsidRPr="003238F4">
        <w:rPr>
          <w:b/>
          <w:sz w:val="28"/>
          <w:szCs w:val="28"/>
        </w:rPr>
        <w:t>Mestringsforventning</w:t>
      </w:r>
    </w:p>
    <w:p w:rsidR="008018EE" w:rsidRDefault="008018EE" w:rsidP="008018EE">
      <w:pPr>
        <w:spacing w:line="276" w:lineRule="auto"/>
      </w:pPr>
      <w:r>
        <w:t>Selv om en</w:t>
      </w:r>
      <w:r w:rsidRPr="00E95805">
        <w:t xml:space="preserve"> kommende yrkesfag</w:t>
      </w:r>
      <w:r>
        <w:t>lærers mestringsforventning kan defineres i forhold til mange konkrete aspekter ved lærerjobben, vil studentenes</w:t>
      </w:r>
      <w:r w:rsidRPr="00E95805">
        <w:t xml:space="preserve"> vurdering av sin evne til å frembringe ønsket læring og engasjement hos sine elever</w:t>
      </w:r>
      <w:r>
        <w:t xml:space="preserve"> være et sentralt aspekt</w:t>
      </w:r>
      <w:r w:rsidRPr="00E95805">
        <w:t xml:space="preserve"> </w:t>
      </w:r>
      <w:r>
        <w:fldChar w:fldCharType="begin"/>
      </w:r>
      <w:r>
        <w:instrText xml:space="preserve"> ADDIN EN.CITE &lt;EndNote&gt;&lt;Cite&gt;&lt;Author&gt;Henson&lt;/Author&gt;&lt;Year&gt;2001&lt;/Year&gt;&lt;RecNum&gt;287&lt;/RecNum&gt;&lt;DisplayText&gt;(Henson, 2001)&lt;/DisplayText&gt;&lt;record&gt;&lt;rec-number&gt;287&lt;/rec-number&gt;&lt;foreign-keys&gt;&lt;key app="EN" db-id="rf0wv9rrjf9xsmefvzh5dday5zxttff0tws2"&gt;287&lt;/key&gt;&lt;/foreign-keys&gt;&lt;ref-type name="Conference Paper"&gt;47&lt;/ref-type&gt;&lt;contributors&gt;&lt;authors&gt;&lt;author&gt;Henson, Robin K.&lt;/author&gt;&lt;/authors&gt;&lt;/contributors&gt;&lt;titles&gt;&lt;title&gt;Teacher Self-Efficacy: Substantive Implications and Measurement Dilemmas&lt;/title&gt;&lt;secondary-title&gt;Annual meeting of the Educational Research Exchange,&amp;#xD;January 26, 2001, &lt;/secondary-title&gt;&lt;/titles&gt;&lt;dates&gt;&lt;year&gt;2001&lt;/year&gt;&lt;/dates&gt;&lt;pub-location&gt;Texas A&amp;amp;M University, College Station, Texas&lt;/pub-location&gt;&lt;urls&gt;&lt;/urls&gt;&lt;/record&gt;&lt;/Cite&gt;&lt;/EndNote&gt;</w:instrText>
      </w:r>
      <w:r>
        <w:fldChar w:fldCharType="separate"/>
      </w:r>
      <w:r>
        <w:rPr>
          <w:noProof/>
        </w:rPr>
        <w:t>(</w:t>
      </w:r>
      <w:hyperlink w:anchor="_ENREF_5" w:tooltip="Henson, 2001 #287" w:history="1">
        <w:r>
          <w:rPr>
            <w:noProof/>
          </w:rPr>
          <w:t>Henson, 2001</w:t>
        </w:r>
      </w:hyperlink>
      <w:r>
        <w:rPr>
          <w:noProof/>
        </w:rPr>
        <w:t>)</w:t>
      </w:r>
      <w:r>
        <w:fldChar w:fldCharType="end"/>
      </w:r>
      <w:r>
        <w:t xml:space="preserve">. </w:t>
      </w:r>
      <w:r w:rsidRPr="00E95805">
        <w:t>Mestringsforventning</w:t>
      </w:r>
      <w:r>
        <w:t xml:space="preserve"> (</w:t>
      </w:r>
      <w:r w:rsidRPr="00CE26D2">
        <w:t>self-efficacy</w:t>
      </w:r>
      <w:r>
        <w:t>) innebærer</w:t>
      </w:r>
      <w:r w:rsidRPr="00E95805">
        <w:t xml:space="preserve"> hvor stor tro en person har til sin egen kapasitet i forhold til å organisere og utøve de handlinger som er nødvendig for å håndtere potensielle kon</w:t>
      </w:r>
      <w:r>
        <w:t xml:space="preserve">krete situasjoner </w:t>
      </w:r>
      <w:r>
        <w:fldChar w:fldCharType="begin"/>
      </w:r>
      <w:r>
        <w:instrText xml:space="preserve"> ADDIN EN.CITE &lt;EndNote&gt;&lt;Cite&gt;&lt;Author&gt;Bandura&lt;/Author&gt;&lt;Year&gt;1997&lt;/Year&gt;&lt;RecNum&gt;284&lt;/RecNum&gt;&lt;DisplayText&gt;(Bandura, 1997)&lt;/DisplayText&gt;&lt;record&gt;&lt;rec-number&gt;284&lt;/rec-number&gt;&lt;foreign-keys&gt;&lt;key app="EN" db-id="rf0wv9rrjf9xsmefvzh5dday5zxttff0tws2"&gt;284&lt;/key&gt;&lt;/foreign-keys&gt;&lt;ref-type name="Book"&gt;6&lt;/ref-type&gt;&lt;contributors&gt;&lt;authors&gt;&lt;author&gt;Bandura, Albert&lt;/author&gt;&lt;/authors&gt;&lt;/contributors&gt;&lt;titles&gt;&lt;title&gt;Self-efficacy: the exercise of control&lt;/title&gt;&lt;/titles&gt;&lt;pages&gt;IX, 604 s.&lt;/pages&gt;&lt;keywords&gt;&lt;keyword&gt;Self Psychology&lt;/keyword&gt;&lt;keyword&gt;Self Efficacy&lt;/keyword&gt;&lt;keyword&gt;Self Concept&lt;/keyword&gt;&lt;keyword&gt;Personlighetspsykologi&lt;/keyword&gt;&lt;keyword&gt;Individualpsykologi&lt;/keyword&gt;&lt;keyword&gt;Kontroll&lt;/keyword&gt;&lt;keyword&gt;Sosialpsykologi&lt;/keyword&gt;&lt;keyword&gt;Tilpasning&lt;/keyword&gt;&lt;keyword&gt;kognitiv&lt;/keyword&gt;&lt;keyword&gt;sosial&lt;/keyword&gt;&lt;keyword&gt;læringsteori&lt;/keyword&gt;&lt;keyword&gt;selvkontroll&lt;/keyword&gt;&lt;keyword&gt;psykologi&lt;/keyword&gt;&lt;keyword&gt;selv&lt;/keyword&gt;&lt;keyword&gt;agency&lt;/keyword&gt;&lt;keyword&gt;selvoppfatning&lt;/keyword&gt;&lt;keyword&gt;selsvikkerhet&lt;/keyword&gt;&lt;keyword&gt;selvfølelse&lt;/keyword&gt;&lt;keyword&gt;selvvurdering&lt;/keyword&gt;&lt;keyword&gt;idrett&lt;/keyword&gt;&lt;keyword&gt;selvbilde&lt;/keyword&gt;&lt;keyword&gt;selvinnsikt&lt;/keyword&gt;&lt;keyword&gt;personlighetsutvikling&lt;/keyword&gt;&lt;keyword&gt;sjølvkontroll&lt;/keyword&gt;&lt;keyword&gt;sjølvbilete&lt;/keyword&gt;&lt;keyword&gt;sjølvkjensle&lt;/keyword&gt;&lt;keyword&gt;sosiale&lt;/keyword&gt;&lt;keyword&gt;omgjevnader&lt;/keyword&gt;&lt;keyword&gt;selvsikkerhet&lt;/keyword&gt;&lt;keyword&gt;self-efficacy&lt;/keyword&gt;&lt;keyword&gt;subjektiv&lt;/keyword&gt;&lt;keyword&gt;mestringstro&lt;/keyword&gt;&lt;keyword&gt;mestringstillit&lt;/keyword&gt;&lt;/keywords&gt;&lt;dates&gt;&lt;year&gt;1997&lt;/year&gt;&lt;/dates&gt;&lt;pub-location&gt;New York&lt;/pub-location&gt;&lt;publisher&gt;Freeman&lt;/publisher&gt;&lt;isbn&gt;978-0-7167-2626-5&lt;/isbn&gt;&lt;urls&gt;&lt;/urls&gt;&lt;/record&gt;&lt;/Cite&gt;&lt;/EndNote&gt;</w:instrText>
      </w:r>
      <w:r>
        <w:fldChar w:fldCharType="separate"/>
      </w:r>
      <w:r>
        <w:rPr>
          <w:noProof/>
        </w:rPr>
        <w:t>(</w:t>
      </w:r>
      <w:hyperlink w:anchor="_ENREF_2" w:tooltip="Bandura, 1997 #284" w:history="1">
        <w:r>
          <w:rPr>
            <w:noProof/>
          </w:rPr>
          <w:t>Bandura, 1997</w:t>
        </w:r>
      </w:hyperlink>
      <w:r>
        <w:rPr>
          <w:noProof/>
        </w:rPr>
        <w:t>)</w:t>
      </w:r>
      <w:r>
        <w:fldChar w:fldCharType="end"/>
      </w:r>
      <w:r w:rsidRPr="00E95805">
        <w:t>.</w:t>
      </w:r>
      <w:r>
        <w:t xml:space="preserve"> </w:t>
      </w:r>
      <w:r>
        <w:lastRenderedPageBreak/>
        <w:t xml:space="preserve">Nærmere bestemt: </w:t>
      </w:r>
      <w:r w:rsidRPr="00CE26D2">
        <w:t>”Perceived self-efficacy refers to beliefs in one’s capabilities to organize and execute the course of action required to manage prospective situations</w:t>
      </w:r>
      <w:r w:rsidRPr="003C3036">
        <w:t>”</w:t>
      </w:r>
      <w:r>
        <w:t xml:space="preserve"> </w:t>
      </w:r>
      <w:r>
        <w:fldChar w:fldCharType="begin"/>
      </w:r>
      <w:r>
        <w:instrText xml:space="preserve"> ADDIN EN.CITE &lt;EndNote&gt;&lt;Cite&gt;&lt;Author&gt;Bandura&lt;/Author&gt;&lt;Year&gt;1995&lt;/Year&gt;&lt;RecNum&gt;282&lt;/RecNum&gt;&lt;Pages&gt;2&lt;/Pages&gt;&lt;DisplayText&gt;(Bandura, 1995, p. 2)&lt;/DisplayText&gt;&lt;record&gt;&lt;rec-number&gt;282&lt;/rec-number&gt;&lt;foreign-keys&gt;&lt;key app="EN" db-id="rf0wv9rrjf9xsmefvzh5dday5zxttff0tws2"&gt;282&lt;/key&gt;&lt;/foreign-keys&gt;&lt;ref-type name="Book"&gt;6&lt;/ref-type&gt;&lt;contributors&gt;&lt;authors&gt;&lt;author&gt;Bandura, Albert&lt;/author&gt;&lt;/authors&gt;&lt;/contributors&gt;&lt;titles&gt;&lt;title&gt;Self-efficacy in changing societies&lt;/title&gt;&lt;/titles&gt;&lt;pages&gt;XV, 334 s.&lt;/pages&gt;&lt;keywords&gt;&lt;keyword&gt;coping&lt;/keyword&gt;&lt;keyword&gt;self-image&lt;/keyword&gt;&lt;keyword&gt;vilje&lt;/keyword&gt;&lt;keyword&gt;sosiale&lt;/keyword&gt;&lt;keyword&gt;endringer&lt;/keyword&gt;&lt;keyword&gt;mestring&lt;/keyword&gt;&lt;keyword&gt;sosialpsykologi&lt;/keyword&gt;&lt;keyword&gt;tilpasningsevne&lt;/keyword&gt;&lt;keyword&gt;selvkontroll&lt;/keyword&gt;&lt;keyword&gt;kontroll&lt;/keyword&gt;&lt;keyword&gt;sosial&lt;/keyword&gt;&lt;keyword&gt;identitet&lt;/keyword&gt;&lt;keyword&gt;sosiologi&lt;/keyword&gt;&lt;keyword&gt;individ&lt;/keyword&gt;&lt;keyword&gt;og&lt;/keyword&gt;&lt;keyword&gt;samfunn&lt;/keyword&gt;&lt;/keywords&gt;&lt;dates&gt;&lt;year&gt;1995&lt;/year&gt;&lt;/dates&gt;&lt;pub-location&gt;Cambridge&lt;/pub-location&gt;&lt;publisher&gt;Cambridge University Press&lt;/publisher&gt;&lt;isbn&gt;0-521-58696-8&lt;/isbn&gt;&lt;urls&gt;&lt;/urls&gt;&lt;/record&gt;&lt;/Cite&gt;&lt;/EndNote&gt;</w:instrText>
      </w:r>
      <w:r>
        <w:fldChar w:fldCharType="separate"/>
      </w:r>
      <w:r>
        <w:rPr>
          <w:noProof/>
        </w:rPr>
        <w:t>(</w:t>
      </w:r>
      <w:hyperlink w:anchor="_ENREF_1" w:tooltip="Bandura, 1995 #282" w:history="1">
        <w:r>
          <w:rPr>
            <w:noProof/>
          </w:rPr>
          <w:t>Bandura, 1995, p. 2</w:t>
        </w:r>
      </w:hyperlink>
      <w:r>
        <w:rPr>
          <w:noProof/>
        </w:rPr>
        <w:t>)</w:t>
      </w:r>
      <w:r>
        <w:fldChar w:fldCharType="end"/>
      </w:r>
      <w:r>
        <w:t xml:space="preserve"> For eksempel noe så konkret som å kunne gjennomføre en interessedifferensiert og yrkesforankret yrkesopplæring med elever i utdanningsprogrammet restaurant- og matfag. </w:t>
      </w:r>
    </w:p>
    <w:p w:rsidR="008018EE" w:rsidRDefault="008018EE" w:rsidP="008018EE">
      <w:pPr>
        <w:spacing w:line="276" w:lineRule="auto"/>
      </w:pPr>
    </w:p>
    <w:p w:rsidR="008018EE" w:rsidRPr="00E95805" w:rsidRDefault="008018EE" w:rsidP="008018EE">
      <w:pPr>
        <w:spacing w:line="276" w:lineRule="auto"/>
      </w:pPr>
      <w:r w:rsidRPr="00E95805">
        <w:t>Zimmermann (1995) setter opp flere kriterier som det må tas hensyn til når</w:t>
      </w:r>
      <w:r>
        <w:t xml:space="preserve"> studenters </w:t>
      </w:r>
      <w:r w:rsidRPr="00E95805">
        <w:t xml:space="preserve">mestringsforventning </w:t>
      </w:r>
      <w:r>
        <w:t xml:space="preserve">i akademiske utdanninger </w:t>
      </w:r>
      <w:r w:rsidRPr="00E95805">
        <w:t>skal vurderes:</w:t>
      </w:r>
    </w:p>
    <w:p w:rsidR="008018EE" w:rsidRPr="00E95805" w:rsidRDefault="008018EE" w:rsidP="008018EE">
      <w:pPr>
        <w:pStyle w:val="Listeavsnitt"/>
        <w:numPr>
          <w:ilvl w:val="0"/>
          <w:numId w:val="1"/>
        </w:numPr>
        <w:spacing w:line="276" w:lineRule="auto"/>
      </w:pPr>
      <w:r w:rsidRPr="00E95805">
        <w:t xml:space="preserve">Mestringsforventning dreier seg </w:t>
      </w:r>
      <w:r>
        <w:t xml:space="preserve">mer om en vurdering av konkrete aktiviteter enn av </w:t>
      </w:r>
      <w:r w:rsidRPr="00E95805">
        <w:t xml:space="preserve">personlige </w:t>
      </w:r>
      <w:r>
        <w:t xml:space="preserve">fysiske og psykiske </w:t>
      </w:r>
      <w:r w:rsidRPr="00E95805">
        <w:t>kvaliteter</w:t>
      </w:r>
    </w:p>
    <w:p w:rsidR="008018EE" w:rsidRPr="00E95805" w:rsidRDefault="008018EE" w:rsidP="008018EE">
      <w:pPr>
        <w:pStyle w:val="Listeavsnitt"/>
        <w:numPr>
          <w:ilvl w:val="0"/>
          <w:numId w:val="1"/>
        </w:numPr>
        <w:spacing w:line="276" w:lineRule="auto"/>
      </w:pPr>
      <w:r w:rsidRPr="00E95805">
        <w:t>Mestringsforventningen kan være ulik i forhold til ulike arbeidsoppgaver</w:t>
      </w:r>
    </w:p>
    <w:p w:rsidR="008018EE" w:rsidRPr="00E95805" w:rsidRDefault="008018EE" w:rsidP="008018EE">
      <w:pPr>
        <w:pStyle w:val="Listeavsnitt"/>
        <w:numPr>
          <w:ilvl w:val="0"/>
          <w:numId w:val="1"/>
        </w:numPr>
        <w:spacing w:line="276" w:lineRule="auto"/>
      </w:pPr>
      <w:r w:rsidRPr="00E95805">
        <w:t>Mestringsforventningen er kontekstavhengig</w:t>
      </w:r>
    </w:p>
    <w:p w:rsidR="008018EE" w:rsidRPr="00E95805" w:rsidRDefault="008018EE" w:rsidP="008018EE">
      <w:pPr>
        <w:pStyle w:val="Listeavsnitt"/>
        <w:numPr>
          <w:ilvl w:val="0"/>
          <w:numId w:val="1"/>
        </w:numPr>
        <w:spacing w:line="276" w:lineRule="auto"/>
      </w:pPr>
      <w:r w:rsidRPr="00E95805">
        <w:t>Mestringsforventning henger mer sammen med konkrete mestringskriterier for en gitt oppgave</w:t>
      </w:r>
      <w:r>
        <w:t>,</w:t>
      </w:r>
      <w:r w:rsidRPr="00E95805">
        <w:t xml:space="preserve"> enn </w:t>
      </w:r>
      <w:r>
        <w:t xml:space="preserve">av </w:t>
      </w:r>
      <w:r w:rsidRPr="00E95805">
        <w:t>normative eller ideologiske kriterier</w:t>
      </w:r>
    </w:p>
    <w:p w:rsidR="008018EE" w:rsidRPr="00E95805" w:rsidRDefault="008018EE" w:rsidP="008018EE">
      <w:pPr>
        <w:pStyle w:val="Listeavsnitt"/>
        <w:numPr>
          <w:ilvl w:val="0"/>
          <w:numId w:val="1"/>
        </w:numPr>
        <w:spacing w:line="276" w:lineRule="auto"/>
      </w:pPr>
      <w:r w:rsidRPr="00E95805">
        <w:t>Mestringsforventning henger alltid sammen med fremtidig oppgaveløsning</w:t>
      </w:r>
    </w:p>
    <w:p w:rsidR="008018EE" w:rsidRDefault="008018EE" w:rsidP="008018EE">
      <w:pPr>
        <w:spacing w:line="276" w:lineRule="auto"/>
      </w:pPr>
      <w:r w:rsidRPr="00E95805">
        <w:t>Ut av disse punktene kan vi se at mestringsforventning ikke vurderes i forhold til generelle trekk ved personen, men i forhold til ulike oppgaver som skal løses</w:t>
      </w:r>
      <w:r>
        <w:t xml:space="preserve"> </w:t>
      </w:r>
      <w:r>
        <w:fldChar w:fldCharType="begin"/>
      </w:r>
      <w:r>
        <w:instrText xml:space="preserve"> ADDIN EN.CITE &lt;EndNote&gt;&lt;Cite&gt;&lt;Author&gt;Zimmermann&lt;/Author&gt;&lt;Year&gt;1995&lt;/Year&gt;&lt;RecNum&gt;283&lt;/RecNum&gt;&lt;Pages&gt;201&lt;/Pages&gt;&lt;DisplayText&gt;(Zimmermann, 1995, p. 201)&lt;/DisplayText&gt;&lt;record&gt;&lt;rec-number&gt;283&lt;/rec-number&gt;&lt;foreign-keys&gt;&lt;key app="EN" db-id="rf0wv9rrjf9xsmefvzh5dday5zxttff0tws2"&gt;283&lt;/key&gt;&lt;/foreign-keys&gt;&lt;ref-type name="Book Section"&gt;5&lt;/ref-type&gt;&lt;contributors&gt;&lt;authors&gt;&lt;author&gt;Zimmermann, Barry&lt;/author&gt;&lt;/authors&gt;&lt;secondary-authors&gt;&lt;author&gt;Bandura, Albert&lt;/author&gt;&lt;/secondary-authors&gt;&lt;/contributors&gt;&lt;titles&gt;&lt;title&gt;Self-efficacy and educational development&lt;/title&gt;&lt;secondary-title&gt;Self-efficacy in changing societies&lt;/secondary-title&gt;&lt;/titles&gt;&lt;dates&gt;&lt;year&gt;1995&lt;/year&gt;&lt;/dates&gt;&lt;pub-location&gt;New York&lt;/pub-location&gt;&lt;publisher&gt;Cambridge University Press&lt;/publisher&gt;&lt;urls&gt;&lt;/urls&gt;&lt;/record&gt;&lt;/Cite&gt;&lt;/EndNote&gt;</w:instrText>
      </w:r>
      <w:r>
        <w:fldChar w:fldCharType="separate"/>
      </w:r>
      <w:r>
        <w:rPr>
          <w:noProof/>
        </w:rPr>
        <w:t>(</w:t>
      </w:r>
      <w:hyperlink w:anchor="_ENREF_12" w:tooltip="Zimmermann, 1995 #283" w:history="1">
        <w:r>
          <w:rPr>
            <w:noProof/>
          </w:rPr>
          <w:t>Zimmermann, 1995, p. 201</w:t>
        </w:r>
      </w:hyperlink>
      <w:r>
        <w:rPr>
          <w:noProof/>
        </w:rPr>
        <w:t>)</w:t>
      </w:r>
      <w:r>
        <w:fldChar w:fldCharType="end"/>
      </w:r>
      <w:r>
        <w:t xml:space="preserve">. </w:t>
      </w:r>
    </w:p>
    <w:p w:rsidR="008018EE" w:rsidRDefault="008018EE" w:rsidP="008018EE">
      <w:pPr>
        <w:spacing w:line="276" w:lineRule="auto"/>
      </w:pPr>
    </w:p>
    <w:p w:rsidR="008018EE" w:rsidRPr="00F602B7" w:rsidRDefault="00693C75" w:rsidP="008018EE">
      <w:pPr>
        <w:spacing w:line="276" w:lineRule="auto"/>
      </w:pPr>
      <w:r>
        <w:t>I denne artikkelen</w:t>
      </w:r>
      <w:r w:rsidR="008018EE">
        <w:t xml:space="preserve"> forstår jeg derfor begrepet </w:t>
      </w:r>
      <w:r w:rsidR="008018EE" w:rsidRPr="00F16F79">
        <w:rPr>
          <w:i/>
        </w:rPr>
        <w:t>mestringsforventning</w:t>
      </w:r>
      <w:r w:rsidR="008018EE">
        <w:t xml:space="preserve"> som studentenes opplevelse av potensiell mestring knyttet til undervisningsoppgaven</w:t>
      </w:r>
      <w:r w:rsidR="00E2366B">
        <w:t>:” Å</w:t>
      </w:r>
      <w:r w:rsidR="008018EE">
        <w:t xml:space="preserve"> organisere en meningsfull yrkesopplæring for elever med ulike yrkesinteresser”. </w:t>
      </w:r>
    </w:p>
    <w:p w:rsidR="008018EE" w:rsidRPr="00E95805" w:rsidRDefault="008018EE" w:rsidP="008018EE">
      <w:pPr>
        <w:spacing w:line="276" w:lineRule="auto"/>
      </w:pPr>
    </w:p>
    <w:p w:rsidR="008018EE" w:rsidRPr="00E95805" w:rsidRDefault="00693C75" w:rsidP="008018EE">
      <w:pPr>
        <w:spacing w:line="276" w:lineRule="auto"/>
      </w:pPr>
      <w:r>
        <w:t>Videre i artikkelen</w:t>
      </w:r>
      <w:r w:rsidR="008018EE">
        <w:t xml:space="preserve"> vil jeg først beskrive generelle trekk ved den kvantitative undersøkelsen som ble gjennomført i april 2011. Deretter operasjonaliserer jeg begrepet mestringsforventning til item før jeg viser resultatene av de univariate og bivariate analysene av det innsamlede materialet. Til slutt kommenteres resultatet og problemformuleringen besvares.</w:t>
      </w:r>
    </w:p>
    <w:p w:rsidR="008018EE" w:rsidRPr="00E95805" w:rsidRDefault="008018EE" w:rsidP="008018EE">
      <w:pPr>
        <w:spacing w:line="276" w:lineRule="auto"/>
      </w:pPr>
    </w:p>
    <w:p w:rsidR="008018EE" w:rsidRPr="00ED1E98" w:rsidRDefault="008018EE" w:rsidP="008018EE">
      <w:pPr>
        <w:pStyle w:val="Overskrift1"/>
        <w:spacing w:line="276" w:lineRule="auto"/>
        <w:rPr>
          <w:sz w:val="32"/>
          <w:szCs w:val="32"/>
        </w:rPr>
      </w:pPr>
      <w:r w:rsidRPr="00ED1E98">
        <w:rPr>
          <w:sz w:val="32"/>
          <w:szCs w:val="32"/>
        </w:rPr>
        <w:t>Metode</w:t>
      </w:r>
    </w:p>
    <w:p w:rsidR="008018EE" w:rsidRDefault="008018EE" w:rsidP="008018EE">
      <w:pPr>
        <w:spacing w:line="276" w:lineRule="auto"/>
      </w:pPr>
      <w:r>
        <w:t>Undersøkelsen er kvantitativ og ble utviklet, pilotert og ferdigutviklet i februar 2011. Materialet ble elektronisk samlet inn ved hjelp av Questback i perioden 27. februar til 30. mars 2011 og senere overført fra Questback til SPSS for videre analyse</w:t>
      </w:r>
    </w:p>
    <w:p w:rsidR="008018EE" w:rsidRDefault="008018EE" w:rsidP="008018EE">
      <w:pPr>
        <w:spacing w:line="276" w:lineRule="auto"/>
      </w:pPr>
    </w:p>
    <w:p w:rsidR="008018EE" w:rsidRPr="003238F4" w:rsidRDefault="008018EE" w:rsidP="008018EE">
      <w:pPr>
        <w:pStyle w:val="Undertittel"/>
        <w:spacing w:line="276" w:lineRule="auto"/>
        <w:rPr>
          <w:b/>
          <w:sz w:val="28"/>
          <w:szCs w:val="28"/>
        </w:rPr>
      </w:pPr>
      <w:r w:rsidRPr="003238F4">
        <w:rPr>
          <w:b/>
          <w:sz w:val="28"/>
          <w:szCs w:val="28"/>
        </w:rPr>
        <w:t>Populasjon, utvalg og svarprosent</w:t>
      </w:r>
    </w:p>
    <w:p w:rsidR="008018EE" w:rsidRDefault="008018EE" w:rsidP="008018EE">
      <w:pPr>
        <w:spacing w:line="276" w:lineRule="auto"/>
      </w:pPr>
      <w:r>
        <w:t>Det gjennomføres yrke</w:t>
      </w:r>
      <w:r w:rsidR="00E2366B">
        <w:t>sfaglærerutdanning ved både HiOA</w:t>
      </w:r>
      <w:r>
        <w:t xml:space="preserve"> og NTNU og PPU-y gjennomføres i tillegg ved en rekke høgskoler og universiteter. Populasjonen av studenter som forberedes til å bli lærere i yrkesfag i Norge er ikke undersøkt, så resultatet fra denne undersøkelsen tar ikke mål av seg til å si noe om populasjonen av yrkesfaglærerstudenter i Norge.</w:t>
      </w:r>
    </w:p>
    <w:p w:rsidR="008018EE" w:rsidRDefault="00E2366B" w:rsidP="008018EE">
      <w:pPr>
        <w:spacing w:line="276" w:lineRule="auto"/>
      </w:pPr>
      <w:r>
        <w:t>Ved HiOA</w:t>
      </w:r>
      <w:r w:rsidR="008018EE">
        <w:t xml:space="preserve"> er det til sammen ca 650 studenter som deltar i det ettårige PPU-y løpet eller i den treårige yrkesfaglærerutdanningen. Av disse er det 272 studenter som gjennomfører sitt siste semester våren 2011. Utvalget i undersøkelsen er disse 272 avgangsstudentene. Årsaken til dette ikke-sannsynlighetsutvalget er at disse studentene nærmer seg avslutningen av studiet og forventes å ha utviklet en kompetanse med hensyn til å kunne organisere en meningsfull yrkesopplæring for elever med ulike yrkesinteresser. Denne utvalgsstrategien innebærer derfor at resultatene ikke kan utrykke noe </w:t>
      </w:r>
      <w:r w:rsidR="008018EE">
        <w:lastRenderedPageBreak/>
        <w:t>annet enn oppfatninge</w:t>
      </w:r>
      <w:r>
        <w:t>n til avgangsstudentene ved HiOA</w:t>
      </w:r>
      <w:r w:rsidR="008018EE">
        <w:t xml:space="preserve">. Da er svarprosenten avgjørende for påliteligheten. </w:t>
      </w:r>
    </w:p>
    <w:p w:rsidR="008018EE" w:rsidRDefault="008018EE" w:rsidP="008018EE">
      <w:pPr>
        <w:spacing w:line="276" w:lineRule="auto"/>
      </w:pPr>
    </w:p>
    <w:p w:rsidR="008018EE" w:rsidRDefault="008018EE" w:rsidP="008018EE">
      <w:pPr>
        <w:spacing w:line="276" w:lineRule="auto"/>
      </w:pPr>
      <w:r>
        <w:t xml:space="preserve">Av de 272 utsendte spørreskjemaene ble 121 besvart. Svarprosenten ble derfor på tross av flere purringer bare 44, 5 %, noe som ikke kan sies å være </w:t>
      </w:r>
      <w:r w:rsidR="00DE465B">
        <w:t xml:space="preserve">spesielt </w:t>
      </w:r>
      <w:r>
        <w:t>tilfredsstillende</w:t>
      </w:r>
      <w:r w:rsidR="00DE465B">
        <w:t>. En diskusjon om resultatets pålitelig gjøres senere i artikkelen</w:t>
      </w:r>
      <w:r>
        <w:t xml:space="preserve">. </w:t>
      </w:r>
    </w:p>
    <w:p w:rsidR="008018EE" w:rsidRDefault="008018EE" w:rsidP="008018EE">
      <w:pPr>
        <w:spacing w:line="276" w:lineRule="auto"/>
      </w:pPr>
    </w:p>
    <w:p w:rsidR="008018EE" w:rsidRPr="003238F4" w:rsidRDefault="008018EE" w:rsidP="008018EE">
      <w:pPr>
        <w:pStyle w:val="Undertittel"/>
        <w:spacing w:line="276" w:lineRule="auto"/>
        <w:rPr>
          <w:b/>
          <w:sz w:val="28"/>
          <w:szCs w:val="28"/>
        </w:rPr>
      </w:pPr>
      <w:r w:rsidRPr="003238F4">
        <w:rPr>
          <w:b/>
          <w:sz w:val="28"/>
          <w:szCs w:val="28"/>
        </w:rPr>
        <w:t>Operasjonalisering av begreper – overgang fra teori til item</w:t>
      </w:r>
    </w:p>
    <w:p w:rsidR="008018EE" w:rsidRPr="00F602B7" w:rsidRDefault="008018EE" w:rsidP="008018EE">
      <w:pPr>
        <w:spacing w:line="276" w:lineRule="auto"/>
      </w:pPr>
      <w:r>
        <w:t>I avsnittene</w:t>
      </w:r>
      <w:r w:rsidR="008F4862">
        <w:t>:</w:t>
      </w:r>
      <w:r>
        <w:t>”</w:t>
      </w:r>
      <w:r w:rsidR="008F4862">
        <w:t xml:space="preserve"> </w:t>
      </w:r>
      <w:r>
        <w:t>Meningsfull yrkesopplæring som interessedi</w:t>
      </w:r>
      <w:r w:rsidR="008F4862">
        <w:t xml:space="preserve">fferensiert yrkesforankring” og  </w:t>
      </w:r>
      <w:r>
        <w:t xml:space="preserve">”Mestringsforventning” redegjorde jeg for min forståelse av hva disse begrepene innebærer. Kjernen i min forståelse av hva </w:t>
      </w:r>
      <w:r w:rsidRPr="00F85A35">
        <w:rPr>
          <w:i/>
        </w:rPr>
        <w:t>meningsfull yrkesopplæring</w:t>
      </w:r>
      <w:r>
        <w:t xml:space="preserve"> innebærer er knyttet til en modell for interessedifferensiert yrkesforankring der elevene kan arbeide med temaer, faginnhold og arbeidsoppgaver som er nært knyttet til deres yrkesinteresser. Kjernen i begrepet </w:t>
      </w:r>
      <w:r w:rsidRPr="0026087F">
        <w:rPr>
          <w:i/>
        </w:rPr>
        <w:t>mestringsforventning</w:t>
      </w:r>
      <w:r>
        <w:t xml:space="preserve"> er studentenes opplevelse av i hvilke grad de vil kunne mestre en konkret arbeidsoppgave etter endt utdanning. I dette tilfellet: å organisere en meningsfull yrkesopplæring for elever med ulike yrkesinteresser. Studentenes mestringsforventning i forhold til ”å organisere en meningsfull opplæring for elever med ulike yrkesinteresser” er </w:t>
      </w:r>
      <w:r w:rsidRPr="00F602B7">
        <w:t>operasjonalisert til item</w:t>
      </w:r>
      <w:r>
        <w:t>et:</w:t>
      </w:r>
    </w:p>
    <w:p w:rsidR="008018EE" w:rsidRPr="00A97DB5" w:rsidRDefault="0066320F" w:rsidP="008018EE">
      <w:pPr>
        <w:pStyle w:val="Listeavsnitt"/>
        <w:numPr>
          <w:ilvl w:val="0"/>
          <w:numId w:val="2"/>
        </w:numPr>
        <w:spacing w:line="276" w:lineRule="auto"/>
        <w:rPr>
          <w:b/>
        </w:rPr>
      </w:pPr>
      <w:r>
        <w:rPr>
          <w:b/>
          <w:color w:val="000000"/>
        </w:rPr>
        <w:t>(I</w:t>
      </w:r>
      <w:r w:rsidR="008018EE">
        <w:rPr>
          <w:b/>
          <w:color w:val="000000"/>
        </w:rPr>
        <w:t xml:space="preserve">tem 6) </w:t>
      </w:r>
      <w:r w:rsidR="008018EE" w:rsidRPr="00A97DB5">
        <w:rPr>
          <w:b/>
          <w:color w:val="000000"/>
        </w:rPr>
        <w:t>Jeg er trygg på at jeg som kommende yrkesfaglærer kan organisere en meningsfull yrkesopplæring for elever med ulike yrkesinteresser</w:t>
      </w:r>
      <w:r w:rsidR="008018EE">
        <w:rPr>
          <w:b/>
          <w:color w:val="000000"/>
        </w:rPr>
        <w:t xml:space="preserve"> </w:t>
      </w:r>
    </w:p>
    <w:p w:rsidR="008018EE" w:rsidRDefault="008018EE" w:rsidP="008018EE">
      <w:pPr>
        <w:spacing w:line="276" w:lineRule="auto"/>
      </w:pPr>
      <w:r>
        <w:t xml:space="preserve">Studentene besvarer denne påstanden ved </w:t>
      </w:r>
      <w:r w:rsidR="000A528A">
        <w:t>å markere grad av enighet i en 6</w:t>
      </w:r>
      <w:r>
        <w:t>-punk</w:t>
      </w:r>
      <w:r w:rsidR="00DE465B">
        <w:t>ts Likertskala s</w:t>
      </w:r>
      <w:r w:rsidR="000A528A">
        <w:t>om går fra 1, ”Helt uenig” til 6</w:t>
      </w:r>
      <w:r w:rsidR="00DE465B">
        <w:t>, ”H</w:t>
      </w:r>
      <w:r>
        <w:t>elt enig” (Vedlegg 1).</w:t>
      </w:r>
    </w:p>
    <w:p w:rsidR="008018EE" w:rsidRDefault="008018EE" w:rsidP="008018EE">
      <w:pPr>
        <w:spacing w:line="276" w:lineRule="auto"/>
      </w:pPr>
    </w:p>
    <w:p w:rsidR="008018EE" w:rsidRDefault="008018EE" w:rsidP="008018EE">
      <w:pPr>
        <w:spacing w:line="276" w:lineRule="auto"/>
      </w:pPr>
      <w:r>
        <w:t>Det andre itemet dreier seg om studentenes opplevelse av om utdanningen har forberedt dem godt til kunne organisere en meningsfull opplæring for elever med ulike yrkesinteresser. Itemet spesifiserer ikke hva som menes med ” forberedt godt”, så dette er opp til studentene å vurdere hva dette innebærer. Studentenes opplevelse av om utdanningen har forberedt dem godt til å organisere en meningsfull yrkesopplæring for elever med ulike yrkesinteresser er operasjonalisert slik:</w:t>
      </w:r>
    </w:p>
    <w:p w:rsidR="008018EE" w:rsidRPr="0026087F" w:rsidRDefault="0066320F" w:rsidP="008018EE">
      <w:pPr>
        <w:pStyle w:val="Listeavsnitt"/>
        <w:numPr>
          <w:ilvl w:val="0"/>
          <w:numId w:val="2"/>
        </w:numPr>
        <w:spacing w:line="276" w:lineRule="auto"/>
        <w:rPr>
          <w:b/>
        </w:rPr>
      </w:pPr>
      <w:r>
        <w:rPr>
          <w:b/>
        </w:rPr>
        <w:t>(I</w:t>
      </w:r>
      <w:r w:rsidR="008018EE">
        <w:rPr>
          <w:b/>
        </w:rPr>
        <w:t xml:space="preserve">tem 7) </w:t>
      </w:r>
      <w:r w:rsidR="008018EE" w:rsidRPr="00A97DB5">
        <w:rPr>
          <w:b/>
        </w:rPr>
        <w:t>Jeg opplever at PPU eller Y</w:t>
      </w:r>
      <w:r w:rsidR="00E2366B">
        <w:rPr>
          <w:b/>
        </w:rPr>
        <w:t>rkesfaglærerutdanningen ved HiOA</w:t>
      </w:r>
      <w:r w:rsidR="008018EE" w:rsidRPr="00A97DB5">
        <w:rPr>
          <w:b/>
        </w:rPr>
        <w:t xml:space="preserve"> har forberedt meg godt i forhold til å organisere en meningsfull yrkesopplæring for elever med ulike yrkesinteresser.</w:t>
      </w:r>
      <w:r w:rsidR="008018EE">
        <w:rPr>
          <w:b/>
        </w:rPr>
        <w:t xml:space="preserve"> </w:t>
      </w:r>
    </w:p>
    <w:p w:rsidR="008018EE" w:rsidRDefault="008018EE" w:rsidP="008018EE">
      <w:pPr>
        <w:spacing w:line="276" w:lineRule="auto"/>
      </w:pPr>
      <w:r>
        <w:t xml:space="preserve">Studentene besvarer denne påstanden ved </w:t>
      </w:r>
      <w:r w:rsidR="000A528A">
        <w:t>å markere grad av enighet i en 6</w:t>
      </w:r>
      <w:r>
        <w:t>-punk</w:t>
      </w:r>
      <w:r w:rsidR="00DE465B">
        <w:t>ts Likertskala s</w:t>
      </w:r>
      <w:r w:rsidR="000A528A">
        <w:t>om går fra 1, ”Helt uenig” til 6</w:t>
      </w:r>
      <w:r w:rsidR="00DE465B">
        <w:t>, ”H</w:t>
      </w:r>
      <w:r>
        <w:t>elt enig” (Vedlegg 1).</w:t>
      </w:r>
    </w:p>
    <w:p w:rsidR="008018EE" w:rsidRDefault="008018EE" w:rsidP="008018EE">
      <w:pPr>
        <w:spacing w:line="276" w:lineRule="auto"/>
      </w:pPr>
    </w:p>
    <w:p w:rsidR="008018EE" w:rsidRDefault="008018EE" w:rsidP="008018EE">
      <w:pPr>
        <w:spacing w:line="276" w:lineRule="auto"/>
      </w:pPr>
      <w:r>
        <w:t>For å undersøke om det er noen sammenheng mellom item 6 og item 7 og studentenes utdanning så må studentene også angi hvilke utdanning de deltar i. Dette er operasjonalisert til itemet:</w:t>
      </w:r>
    </w:p>
    <w:p w:rsidR="008018EE" w:rsidRPr="00A97DB5" w:rsidRDefault="0066320F" w:rsidP="008018EE">
      <w:pPr>
        <w:pStyle w:val="Listeavsnitt"/>
        <w:numPr>
          <w:ilvl w:val="0"/>
          <w:numId w:val="2"/>
        </w:numPr>
        <w:spacing w:line="276" w:lineRule="auto"/>
        <w:rPr>
          <w:b/>
        </w:rPr>
      </w:pPr>
      <w:r>
        <w:rPr>
          <w:b/>
        </w:rPr>
        <w:t>(I</w:t>
      </w:r>
      <w:r w:rsidR="008018EE">
        <w:rPr>
          <w:b/>
        </w:rPr>
        <w:t xml:space="preserve">tem 3) </w:t>
      </w:r>
      <w:r w:rsidR="008018EE" w:rsidRPr="00A97DB5">
        <w:rPr>
          <w:b/>
        </w:rPr>
        <w:t>Jeg er student ved:</w:t>
      </w:r>
      <w:r w:rsidR="008018EE">
        <w:rPr>
          <w:b/>
        </w:rPr>
        <w:t xml:space="preserve"> </w:t>
      </w:r>
    </w:p>
    <w:p w:rsidR="008018EE" w:rsidRPr="00E95805" w:rsidRDefault="008018EE" w:rsidP="008018EE">
      <w:pPr>
        <w:spacing w:line="276" w:lineRule="auto"/>
      </w:pPr>
      <w:r>
        <w:t>Her er svarkategoriene: PPU, YFL-DH, YFL-HS, YFL-RM og YFL-BA, EL, TIP (Vedlegg 1)</w:t>
      </w:r>
    </w:p>
    <w:p w:rsidR="008018EE" w:rsidRDefault="008018EE" w:rsidP="008018EE">
      <w:pPr>
        <w:spacing w:line="276" w:lineRule="auto"/>
      </w:pPr>
    </w:p>
    <w:p w:rsidR="008018EE" w:rsidRDefault="008018EE" w:rsidP="008018EE">
      <w:pPr>
        <w:pStyle w:val="Overskrift1"/>
        <w:rPr>
          <w:sz w:val="32"/>
          <w:szCs w:val="32"/>
        </w:rPr>
      </w:pPr>
      <w:r w:rsidRPr="00ED1E98">
        <w:rPr>
          <w:sz w:val="32"/>
          <w:szCs w:val="32"/>
        </w:rPr>
        <w:t>Analyse og resultater</w:t>
      </w:r>
    </w:p>
    <w:p w:rsidR="008018EE" w:rsidRPr="00ED1E98" w:rsidRDefault="008018EE" w:rsidP="008018EE"/>
    <w:p w:rsidR="008018EE" w:rsidRDefault="008018EE" w:rsidP="008018EE">
      <w:pPr>
        <w:spacing w:line="276" w:lineRule="auto"/>
      </w:pPr>
      <w:r>
        <w:t>Materialet vil bli analysert o</w:t>
      </w:r>
      <w:r w:rsidR="00DE465B">
        <w:t>g presentert i tre underavsnitt:</w:t>
      </w:r>
      <w:r>
        <w:t xml:space="preserve"> </w:t>
      </w:r>
    </w:p>
    <w:p w:rsidR="008018EE" w:rsidRDefault="008018EE" w:rsidP="00DE465B">
      <w:pPr>
        <w:pStyle w:val="Listeavsnitt"/>
        <w:numPr>
          <w:ilvl w:val="0"/>
          <w:numId w:val="3"/>
        </w:numPr>
        <w:spacing w:line="276" w:lineRule="auto"/>
      </w:pPr>
      <w:r>
        <w:t xml:space="preserve">Først en univariat </w:t>
      </w:r>
      <w:r w:rsidR="00DE465B">
        <w:t>frekvens</w:t>
      </w:r>
      <w:r>
        <w:t xml:space="preserve">analyse av item 6 og 7 med mål for sentraltendens og spredning samt en grafisk fremstilling av fordelingen sett i forhold til en normalfordelingskurve. </w:t>
      </w:r>
    </w:p>
    <w:p w:rsidR="008018EE" w:rsidRDefault="008018EE" w:rsidP="00DE465B">
      <w:pPr>
        <w:pStyle w:val="Listeavsnitt"/>
        <w:numPr>
          <w:ilvl w:val="0"/>
          <w:numId w:val="3"/>
        </w:numPr>
        <w:spacing w:line="276" w:lineRule="auto"/>
      </w:pPr>
      <w:r>
        <w:lastRenderedPageBreak/>
        <w:t xml:space="preserve">I hvilken grad det er mulig å avvise en 0-hypotese om at det ikke er noen sammenheng mellom item 3 og itemene 6 og 7, vil bli gjennomført ved hjelp av en kjikvadrattest. </w:t>
      </w:r>
    </w:p>
    <w:p w:rsidR="008018EE" w:rsidRDefault="008018EE" w:rsidP="00DE465B">
      <w:pPr>
        <w:pStyle w:val="Listeavsnitt"/>
        <w:numPr>
          <w:ilvl w:val="0"/>
          <w:numId w:val="3"/>
        </w:numPr>
        <w:spacing w:line="276" w:lineRule="auto"/>
      </w:pPr>
      <w:r>
        <w:t xml:space="preserve">For å supplere kjikvadrattesten så vil eventuelle korrelasjoner mellom item 3 og itemene 6 og 7 bli analysert ved hjelp av Phi, Cramer og Spearman’s rho korrelasjon. </w:t>
      </w:r>
    </w:p>
    <w:p w:rsidR="008018EE" w:rsidRDefault="008018EE" w:rsidP="008018EE">
      <w:pPr>
        <w:spacing w:line="276" w:lineRule="auto"/>
      </w:pPr>
    </w:p>
    <w:p w:rsidR="0063095B" w:rsidRDefault="0063095B" w:rsidP="008018EE">
      <w:pPr>
        <w:spacing w:line="276" w:lineRule="auto"/>
      </w:pPr>
    </w:p>
    <w:p w:rsidR="008018EE" w:rsidRPr="003238F4" w:rsidRDefault="008018EE" w:rsidP="00DE465B">
      <w:pPr>
        <w:pStyle w:val="Undertittel"/>
        <w:numPr>
          <w:ilvl w:val="0"/>
          <w:numId w:val="4"/>
        </w:numPr>
        <w:rPr>
          <w:i w:val="0"/>
          <w:sz w:val="28"/>
          <w:szCs w:val="28"/>
        </w:rPr>
      </w:pPr>
      <w:r w:rsidRPr="003238F4">
        <w:rPr>
          <w:rStyle w:val="Sterkutheving"/>
          <w:i/>
          <w:sz w:val="28"/>
          <w:szCs w:val="28"/>
        </w:rPr>
        <w:t xml:space="preserve">Univariat </w:t>
      </w:r>
      <w:r w:rsidR="00DE465B">
        <w:rPr>
          <w:rStyle w:val="Sterkutheving"/>
          <w:i/>
          <w:sz w:val="28"/>
          <w:szCs w:val="28"/>
        </w:rPr>
        <w:t>frekvens</w:t>
      </w:r>
      <w:r w:rsidRPr="003238F4">
        <w:rPr>
          <w:rStyle w:val="Sterkutheving"/>
          <w:i/>
          <w:sz w:val="28"/>
          <w:szCs w:val="28"/>
        </w:rPr>
        <w:t>analyse</w:t>
      </w:r>
    </w:p>
    <w:p w:rsidR="008018EE" w:rsidRDefault="008018EE" w:rsidP="008018EE">
      <w:pPr>
        <w:spacing w:line="276" w:lineRule="auto"/>
        <w:rPr>
          <w:color w:val="000000"/>
        </w:rPr>
      </w:pPr>
      <w:r w:rsidRPr="00C35FAA">
        <w:rPr>
          <w:color w:val="000000"/>
        </w:rPr>
        <w:t xml:space="preserve">Univariat analyse av item 6: </w:t>
      </w:r>
      <w:r w:rsidRPr="00C35FAA">
        <w:rPr>
          <w:i/>
          <w:color w:val="000000"/>
        </w:rPr>
        <w:t>Jeg er trygg på at jeg som kommende yrkesfaglærer kan organisere en meningsfull yrkesopplæring for elever med ulike yrkesinteresser</w:t>
      </w:r>
    </w:p>
    <w:p w:rsidR="00685245" w:rsidRDefault="008D2C5B" w:rsidP="008018EE">
      <w:pPr>
        <w:spacing w:line="276" w:lineRule="auto"/>
        <w:rPr>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4097020</wp:posOffset>
                </wp:positionH>
                <wp:positionV relativeFrom="paragraph">
                  <wp:posOffset>475615</wp:posOffset>
                </wp:positionV>
                <wp:extent cx="2533015" cy="952500"/>
                <wp:effectExtent l="127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rutenett"/>
                              <w:tblW w:w="0" w:type="auto"/>
                              <w:tblLook w:val="04A0" w:firstRow="1" w:lastRow="0" w:firstColumn="1" w:lastColumn="0" w:noHBand="0" w:noVBand="1"/>
                            </w:tblPr>
                            <w:tblGrid>
                              <w:gridCol w:w="1842"/>
                              <w:gridCol w:w="1843"/>
                            </w:tblGrid>
                            <w:tr w:rsidR="00D609BB" w:rsidTr="00685245">
                              <w:tc>
                                <w:tcPr>
                                  <w:tcW w:w="1842" w:type="dxa"/>
                                </w:tcPr>
                                <w:p w:rsidR="00D609BB" w:rsidRDefault="00D609BB">
                                  <w:r>
                                    <w:t>Gjennomsnitt</w:t>
                                  </w:r>
                                </w:p>
                              </w:tc>
                              <w:tc>
                                <w:tcPr>
                                  <w:tcW w:w="1843" w:type="dxa"/>
                                </w:tcPr>
                                <w:p w:rsidR="00D609BB" w:rsidRDefault="00D609BB">
                                  <w:r>
                                    <w:t>4,87</w:t>
                                  </w:r>
                                </w:p>
                              </w:tc>
                            </w:tr>
                            <w:tr w:rsidR="00D609BB" w:rsidTr="00685245">
                              <w:tc>
                                <w:tcPr>
                                  <w:tcW w:w="1842" w:type="dxa"/>
                                </w:tcPr>
                                <w:p w:rsidR="00D609BB" w:rsidRDefault="00D609BB">
                                  <w:r>
                                    <w:t>Standardavvik</w:t>
                                  </w:r>
                                </w:p>
                              </w:tc>
                              <w:tc>
                                <w:tcPr>
                                  <w:tcW w:w="1843" w:type="dxa"/>
                                </w:tcPr>
                                <w:p w:rsidR="00D609BB" w:rsidRDefault="00D609BB">
                                  <w:r>
                                    <w:t>1,176</w:t>
                                  </w:r>
                                </w:p>
                              </w:tc>
                            </w:tr>
                            <w:tr w:rsidR="00D609BB" w:rsidTr="00685245">
                              <w:tc>
                                <w:tcPr>
                                  <w:tcW w:w="1842" w:type="dxa"/>
                                </w:tcPr>
                                <w:p w:rsidR="00D609BB" w:rsidRDefault="00D609BB">
                                  <w:r>
                                    <w:t>Median</w:t>
                                  </w:r>
                                </w:p>
                              </w:tc>
                              <w:tc>
                                <w:tcPr>
                                  <w:tcW w:w="1843" w:type="dxa"/>
                                </w:tcPr>
                                <w:p w:rsidR="00D609BB" w:rsidRDefault="00D609BB">
                                  <w:r>
                                    <w:t>5</w:t>
                                  </w:r>
                                </w:p>
                              </w:tc>
                            </w:tr>
                            <w:tr w:rsidR="00D609BB" w:rsidTr="00685245">
                              <w:tc>
                                <w:tcPr>
                                  <w:tcW w:w="1842" w:type="dxa"/>
                                </w:tcPr>
                                <w:p w:rsidR="00D609BB" w:rsidRDefault="00D609BB">
                                  <w:r>
                                    <w:t xml:space="preserve">Modus </w:t>
                                  </w:r>
                                </w:p>
                              </w:tc>
                              <w:tc>
                                <w:tcPr>
                                  <w:tcW w:w="1843" w:type="dxa"/>
                                </w:tcPr>
                                <w:p w:rsidR="00D609BB" w:rsidRDefault="00D609BB">
                                  <w:r>
                                    <w:t>5</w:t>
                                  </w:r>
                                </w:p>
                              </w:tc>
                            </w:tr>
                          </w:tbl>
                          <w:p w:rsidR="00D609BB" w:rsidRDefault="00D609B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2.6pt;margin-top:37.45pt;width:199.45pt;height: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EggQ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" stroked="f">
                <v:textbox>
                  <w:txbxContent>
                    <w:tbl>
                      <w:tblPr>
                        <w:tblStyle w:val="Tabellrutenett"/>
                        <w:tblW w:w="0" w:type="auto"/>
                        <w:tblLook w:val="04A0" w:firstRow="1" w:lastRow="0" w:firstColumn="1" w:lastColumn="0" w:noHBand="0" w:noVBand="1"/>
                      </w:tblPr>
                      <w:tblGrid>
                        <w:gridCol w:w="1842"/>
                        <w:gridCol w:w="1843"/>
                      </w:tblGrid>
                      <w:tr w:rsidR="00D609BB" w:rsidTr="00685245">
                        <w:tc>
                          <w:tcPr>
                            <w:tcW w:w="1842" w:type="dxa"/>
                          </w:tcPr>
                          <w:p w:rsidR="00D609BB" w:rsidRDefault="00D609BB">
                            <w:r>
                              <w:t>Gjennomsnitt</w:t>
                            </w:r>
                          </w:p>
                        </w:tc>
                        <w:tc>
                          <w:tcPr>
                            <w:tcW w:w="1843" w:type="dxa"/>
                          </w:tcPr>
                          <w:p w:rsidR="00D609BB" w:rsidRDefault="00D609BB">
                            <w:r>
                              <w:t>4,87</w:t>
                            </w:r>
                          </w:p>
                        </w:tc>
                      </w:tr>
                      <w:tr w:rsidR="00D609BB" w:rsidTr="00685245">
                        <w:tc>
                          <w:tcPr>
                            <w:tcW w:w="1842" w:type="dxa"/>
                          </w:tcPr>
                          <w:p w:rsidR="00D609BB" w:rsidRDefault="00D609BB">
                            <w:r>
                              <w:t>Standardavvik</w:t>
                            </w:r>
                          </w:p>
                        </w:tc>
                        <w:tc>
                          <w:tcPr>
                            <w:tcW w:w="1843" w:type="dxa"/>
                          </w:tcPr>
                          <w:p w:rsidR="00D609BB" w:rsidRDefault="00D609BB">
                            <w:r>
                              <w:t>1,176</w:t>
                            </w:r>
                          </w:p>
                        </w:tc>
                      </w:tr>
                      <w:tr w:rsidR="00D609BB" w:rsidTr="00685245">
                        <w:tc>
                          <w:tcPr>
                            <w:tcW w:w="1842" w:type="dxa"/>
                          </w:tcPr>
                          <w:p w:rsidR="00D609BB" w:rsidRDefault="00D609BB">
                            <w:r>
                              <w:t>Median</w:t>
                            </w:r>
                          </w:p>
                        </w:tc>
                        <w:tc>
                          <w:tcPr>
                            <w:tcW w:w="1843" w:type="dxa"/>
                          </w:tcPr>
                          <w:p w:rsidR="00D609BB" w:rsidRDefault="00D609BB">
                            <w:r>
                              <w:t>5</w:t>
                            </w:r>
                          </w:p>
                        </w:tc>
                      </w:tr>
                      <w:tr w:rsidR="00D609BB" w:rsidTr="00685245">
                        <w:tc>
                          <w:tcPr>
                            <w:tcW w:w="1842" w:type="dxa"/>
                          </w:tcPr>
                          <w:p w:rsidR="00D609BB" w:rsidRDefault="00D609BB">
                            <w:r>
                              <w:t xml:space="preserve">Modus </w:t>
                            </w:r>
                          </w:p>
                        </w:tc>
                        <w:tc>
                          <w:tcPr>
                            <w:tcW w:w="1843" w:type="dxa"/>
                          </w:tcPr>
                          <w:p w:rsidR="00D609BB" w:rsidRDefault="00D609BB">
                            <w:r>
                              <w:t>5</w:t>
                            </w:r>
                          </w:p>
                        </w:tc>
                      </w:tr>
                    </w:tbl>
                    <w:p w:rsidR="00D609BB" w:rsidRDefault="00D609BB"/>
                  </w:txbxContent>
                </v:textbox>
              </v:shape>
            </w:pict>
          </mc:Fallback>
        </mc:AlternateContent>
      </w:r>
      <w:r w:rsidR="00685245">
        <w:rPr>
          <w:noProof/>
          <w:color w:val="000000"/>
        </w:rPr>
        <w:drawing>
          <wp:inline distT="0" distB="0" distL="0" distR="0">
            <wp:extent cx="3838575" cy="2862974"/>
            <wp:effectExtent l="19050" t="0" r="9525" b="0"/>
            <wp:docPr id="1" name="Bilde 0" descr="Graf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bmp"/>
                    <pic:cNvPicPr/>
                  </pic:nvPicPr>
                  <pic:blipFill>
                    <a:blip r:embed="rId10" cstate="print"/>
                    <a:stretch>
                      <a:fillRect/>
                    </a:stretch>
                  </pic:blipFill>
                  <pic:spPr>
                    <a:xfrm>
                      <a:off x="0" y="0"/>
                      <a:ext cx="3838096" cy="2862617"/>
                    </a:xfrm>
                    <a:prstGeom prst="rect">
                      <a:avLst/>
                    </a:prstGeom>
                  </pic:spPr>
                </pic:pic>
              </a:graphicData>
            </a:graphic>
          </wp:inline>
        </w:drawing>
      </w:r>
    </w:p>
    <w:p w:rsidR="00685245" w:rsidRPr="00685245" w:rsidRDefault="00693C75" w:rsidP="008018EE">
      <w:pPr>
        <w:spacing w:line="276" w:lineRule="auto"/>
        <w:rPr>
          <w:color w:val="000000"/>
          <w:sz w:val="20"/>
          <w:szCs w:val="20"/>
        </w:rPr>
      </w:pPr>
      <w:r>
        <w:rPr>
          <w:color w:val="000000"/>
        </w:rPr>
        <w:t>Figur</w:t>
      </w:r>
      <w:r w:rsidR="00685245">
        <w:rPr>
          <w:color w:val="000000"/>
        </w:rPr>
        <w:t xml:space="preserve"> 1. </w:t>
      </w:r>
      <w:r w:rsidR="00685245">
        <w:rPr>
          <w:color w:val="000000"/>
        </w:rPr>
        <w:tab/>
      </w:r>
      <w:r w:rsidR="00685245">
        <w:rPr>
          <w:color w:val="000000"/>
          <w:sz w:val="20"/>
          <w:szCs w:val="20"/>
        </w:rPr>
        <w:t>Verdien 1, ”Helt uenig” – verdien 6, ”Helt enig”</w:t>
      </w:r>
      <w:r w:rsidR="0063095B">
        <w:rPr>
          <w:color w:val="000000"/>
          <w:sz w:val="20"/>
          <w:szCs w:val="20"/>
        </w:rPr>
        <w:t>. Verdien 7, ”Vet ikke”.</w:t>
      </w:r>
    </w:p>
    <w:p w:rsidR="00685245" w:rsidRDefault="00685245" w:rsidP="008018EE">
      <w:pPr>
        <w:autoSpaceDE w:val="0"/>
        <w:autoSpaceDN w:val="0"/>
        <w:adjustRightInd w:val="0"/>
        <w:spacing w:line="276" w:lineRule="auto"/>
      </w:pPr>
    </w:p>
    <w:p w:rsidR="0063095B" w:rsidRDefault="008018EE" w:rsidP="008018EE">
      <w:pPr>
        <w:autoSpaceDE w:val="0"/>
        <w:autoSpaceDN w:val="0"/>
        <w:adjustRightInd w:val="0"/>
        <w:spacing w:line="276" w:lineRule="auto"/>
      </w:pPr>
      <w:r>
        <w:t>Hi</w:t>
      </w:r>
      <w:r w:rsidR="0063095B">
        <w:t>stogrammets</w:t>
      </w:r>
      <w:r>
        <w:t xml:space="preserve"> venstreskjevhet</w:t>
      </w:r>
      <w:r w:rsidR="0063095B">
        <w:t xml:space="preserve"> </w:t>
      </w:r>
      <w:r>
        <w:t xml:space="preserve">indikerer at studentene opplever en relativt stor grad av trygghet i forhold til å kunne organisere en meningsfull opplæring for elever med ulike yrkesinteresser. </w:t>
      </w:r>
    </w:p>
    <w:p w:rsidR="0063095B" w:rsidRDefault="0063095B" w:rsidP="008018EE">
      <w:pPr>
        <w:autoSpaceDE w:val="0"/>
        <w:autoSpaceDN w:val="0"/>
        <w:adjustRightInd w:val="0"/>
        <w:spacing w:line="276" w:lineRule="auto"/>
      </w:pPr>
    </w:p>
    <w:p w:rsidR="008018EE" w:rsidRDefault="00685245" w:rsidP="008018EE">
      <w:pPr>
        <w:autoSpaceDE w:val="0"/>
        <w:autoSpaceDN w:val="0"/>
        <w:adjustRightInd w:val="0"/>
        <w:spacing w:line="276" w:lineRule="auto"/>
      </w:pPr>
      <w:r>
        <w:rPr>
          <w:b/>
        </w:rPr>
        <w:t>68,4</w:t>
      </w:r>
      <w:r w:rsidR="008018EE">
        <w:t xml:space="preserve"> % har krysset av for verdiene 5 og 6</w:t>
      </w:r>
      <w:r w:rsidR="00A15DF1">
        <w:t xml:space="preserve">, mens bare </w:t>
      </w:r>
      <w:r w:rsidR="00A15DF1" w:rsidRPr="00A15DF1">
        <w:rPr>
          <w:b/>
        </w:rPr>
        <w:t>4,2</w:t>
      </w:r>
      <w:r w:rsidR="00A15DF1">
        <w:t xml:space="preserve"> % har krysset av for verdiene 1 og 2. </w:t>
      </w:r>
      <w:r>
        <w:t xml:space="preserve"> G</w:t>
      </w:r>
      <w:r w:rsidR="0063095B">
        <w:t>j</w:t>
      </w:r>
      <w:r w:rsidR="008018EE">
        <w:t>ennom</w:t>
      </w:r>
      <w:r w:rsidR="0063095B">
        <w:t>snittet i fordelingen er 4,87 med standardavvik på 1,176. Et avvik som</w:t>
      </w:r>
      <w:r w:rsidR="00CD68A0">
        <w:t xml:space="preserve"> vanskelig kan</w:t>
      </w:r>
      <w:r w:rsidR="008018EE">
        <w:t xml:space="preserve"> tolke</w:t>
      </w:r>
      <w:r w:rsidR="00CD68A0">
        <w:t>s</w:t>
      </w:r>
      <w:r w:rsidR="008018EE">
        <w:t xml:space="preserve"> </w:t>
      </w:r>
      <w:r w:rsidR="0063095B">
        <w:t xml:space="preserve">substansielt </w:t>
      </w:r>
      <w:r w:rsidR="008018EE">
        <w:t>uten sammenliknbare grupper. At både medianen og modus viser verdien 5, antyder likevel at gjennomsnittet er rela</w:t>
      </w:r>
      <w:r w:rsidR="008F4862">
        <w:t>tivt representativt for gruppen</w:t>
      </w:r>
      <w:r w:rsidR="008018EE">
        <w:t xml:space="preserve">. </w:t>
      </w:r>
    </w:p>
    <w:p w:rsidR="008018EE" w:rsidRDefault="008018EE" w:rsidP="008018EE">
      <w:pPr>
        <w:autoSpaceDE w:val="0"/>
        <w:autoSpaceDN w:val="0"/>
        <w:adjustRightInd w:val="0"/>
        <w:spacing w:line="276" w:lineRule="auto"/>
      </w:pPr>
    </w:p>
    <w:p w:rsidR="008018EE" w:rsidRDefault="008018EE" w:rsidP="008018EE">
      <w:pPr>
        <w:autoSpaceDE w:val="0"/>
        <w:autoSpaceDN w:val="0"/>
        <w:adjustRightInd w:val="0"/>
        <w:spacing w:line="276" w:lineRule="auto"/>
        <w:rPr>
          <w:color w:val="000000"/>
        </w:rPr>
      </w:pPr>
      <w:r>
        <w:rPr>
          <w:color w:val="000000"/>
        </w:rPr>
        <w:t>Oppsummert så viser den univariate analysen at avgangsstudentene i YFL og PPY i hovedsak opplever en høy grad av mestringsforventning knyttet til det å organisere en meningsfull yrkesopplæring for elever med ulike yrkesinteresser.</w:t>
      </w:r>
    </w:p>
    <w:p w:rsidR="008018EE" w:rsidRDefault="008018EE" w:rsidP="008018EE">
      <w:pPr>
        <w:autoSpaceDE w:val="0"/>
        <w:autoSpaceDN w:val="0"/>
        <w:adjustRightInd w:val="0"/>
        <w:spacing w:line="276" w:lineRule="auto"/>
        <w:rPr>
          <w:color w:val="000000"/>
        </w:rPr>
      </w:pPr>
    </w:p>
    <w:p w:rsidR="0063095B" w:rsidRDefault="0063095B" w:rsidP="008018EE">
      <w:pPr>
        <w:autoSpaceDE w:val="0"/>
        <w:autoSpaceDN w:val="0"/>
        <w:adjustRightInd w:val="0"/>
        <w:spacing w:line="276" w:lineRule="auto"/>
        <w:rPr>
          <w:color w:val="000000"/>
        </w:rPr>
      </w:pPr>
    </w:p>
    <w:p w:rsidR="0063095B" w:rsidRDefault="0063095B" w:rsidP="008018EE">
      <w:pPr>
        <w:autoSpaceDE w:val="0"/>
        <w:autoSpaceDN w:val="0"/>
        <w:adjustRightInd w:val="0"/>
        <w:spacing w:line="276" w:lineRule="auto"/>
        <w:rPr>
          <w:color w:val="000000"/>
        </w:rPr>
      </w:pPr>
    </w:p>
    <w:p w:rsidR="0063095B" w:rsidRDefault="0063095B" w:rsidP="008018EE">
      <w:pPr>
        <w:autoSpaceDE w:val="0"/>
        <w:autoSpaceDN w:val="0"/>
        <w:adjustRightInd w:val="0"/>
        <w:spacing w:line="276" w:lineRule="auto"/>
        <w:rPr>
          <w:color w:val="000000"/>
        </w:rPr>
      </w:pPr>
    </w:p>
    <w:p w:rsidR="00E2366B" w:rsidRDefault="00E2366B" w:rsidP="008018EE">
      <w:pPr>
        <w:autoSpaceDE w:val="0"/>
        <w:autoSpaceDN w:val="0"/>
        <w:adjustRightInd w:val="0"/>
        <w:spacing w:line="276" w:lineRule="auto"/>
        <w:rPr>
          <w:color w:val="000000"/>
        </w:rPr>
      </w:pPr>
    </w:p>
    <w:p w:rsidR="00E2366B" w:rsidRDefault="00E2366B" w:rsidP="008018EE">
      <w:pPr>
        <w:autoSpaceDE w:val="0"/>
        <w:autoSpaceDN w:val="0"/>
        <w:adjustRightInd w:val="0"/>
        <w:spacing w:line="276" w:lineRule="auto"/>
        <w:rPr>
          <w:color w:val="000000"/>
        </w:rPr>
      </w:pPr>
    </w:p>
    <w:p w:rsidR="0063095B" w:rsidRDefault="0063095B" w:rsidP="008018EE">
      <w:pPr>
        <w:autoSpaceDE w:val="0"/>
        <w:autoSpaceDN w:val="0"/>
        <w:adjustRightInd w:val="0"/>
        <w:spacing w:line="276" w:lineRule="auto"/>
        <w:rPr>
          <w:color w:val="000000"/>
        </w:rPr>
      </w:pPr>
    </w:p>
    <w:p w:rsidR="0063095B" w:rsidRDefault="008018EE" w:rsidP="008018EE">
      <w:pPr>
        <w:autoSpaceDE w:val="0"/>
        <w:autoSpaceDN w:val="0"/>
        <w:adjustRightInd w:val="0"/>
        <w:spacing w:line="276" w:lineRule="auto"/>
      </w:pPr>
      <w:r>
        <w:lastRenderedPageBreak/>
        <w:t>Univariat analyse av i</w:t>
      </w:r>
      <w:r w:rsidRPr="008D58AD">
        <w:t xml:space="preserve">tem 7: </w:t>
      </w:r>
      <w:r w:rsidRPr="00C35FAA">
        <w:rPr>
          <w:i/>
        </w:rPr>
        <w:t xml:space="preserve">Jeg opplever at PPU eller Yrkesfaglærerutdanningen ved </w:t>
      </w:r>
      <w:r w:rsidR="000A528A">
        <w:rPr>
          <w:i/>
        </w:rPr>
        <w:t>HiOA</w:t>
      </w:r>
      <w:r w:rsidRPr="00C35FAA">
        <w:rPr>
          <w:i/>
        </w:rPr>
        <w:t xml:space="preserve"> har forberedt meg godt i forhold til å organisere en meningsfull yrkesopplæring for elever med ulike yrkesinteresser</w:t>
      </w:r>
    </w:p>
    <w:p w:rsidR="0063095B" w:rsidRDefault="008D2C5B" w:rsidP="008018EE">
      <w:pPr>
        <w:autoSpaceDE w:val="0"/>
        <w:autoSpaceDN w:val="0"/>
        <w:adjustRightInd w:val="0"/>
        <w:spacing w:line="276"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4039870</wp:posOffset>
                </wp:positionH>
                <wp:positionV relativeFrom="paragraph">
                  <wp:posOffset>598170</wp:posOffset>
                </wp:positionV>
                <wp:extent cx="2514600" cy="1009015"/>
                <wp:effectExtent l="10795" t="7620" r="889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9015"/>
                        </a:xfrm>
                        <a:prstGeom prst="rect">
                          <a:avLst/>
                        </a:prstGeom>
                        <a:solidFill>
                          <a:srgbClr val="FFFFFF"/>
                        </a:solidFill>
                        <a:ln w="9525">
                          <a:solidFill>
                            <a:srgbClr val="000000"/>
                          </a:solidFill>
                          <a:miter lim="800000"/>
                          <a:headEnd/>
                          <a:tailEnd/>
                        </a:ln>
                      </wps:spPr>
                      <wps:txbx>
                        <w:txbxContent>
                          <w:tbl>
                            <w:tblPr>
                              <w:tblStyle w:val="Tabellrutenett"/>
                              <w:tblW w:w="0" w:type="auto"/>
                              <w:tblLook w:val="04A0" w:firstRow="1" w:lastRow="0" w:firstColumn="1" w:lastColumn="0" w:noHBand="0" w:noVBand="1"/>
                            </w:tblPr>
                            <w:tblGrid>
                              <w:gridCol w:w="1842"/>
                              <w:gridCol w:w="1843"/>
                            </w:tblGrid>
                            <w:tr w:rsidR="00D609BB" w:rsidTr="00CD68A0">
                              <w:tc>
                                <w:tcPr>
                                  <w:tcW w:w="1842" w:type="dxa"/>
                                </w:tcPr>
                                <w:p w:rsidR="00D609BB" w:rsidRDefault="00D609BB" w:rsidP="00CD68A0">
                                  <w:r>
                                    <w:t>Gjennomsnitt</w:t>
                                  </w:r>
                                </w:p>
                              </w:tc>
                              <w:tc>
                                <w:tcPr>
                                  <w:tcW w:w="1843" w:type="dxa"/>
                                </w:tcPr>
                                <w:p w:rsidR="00D609BB" w:rsidRDefault="00D609BB" w:rsidP="00CD68A0">
                                  <w:r>
                                    <w:t>4,33</w:t>
                                  </w:r>
                                </w:p>
                              </w:tc>
                            </w:tr>
                            <w:tr w:rsidR="00D609BB" w:rsidTr="00CD68A0">
                              <w:tc>
                                <w:tcPr>
                                  <w:tcW w:w="1842" w:type="dxa"/>
                                </w:tcPr>
                                <w:p w:rsidR="00D609BB" w:rsidRDefault="00D609BB" w:rsidP="00CD68A0">
                                  <w:r>
                                    <w:t>Standardavvik</w:t>
                                  </w:r>
                                </w:p>
                              </w:tc>
                              <w:tc>
                                <w:tcPr>
                                  <w:tcW w:w="1843" w:type="dxa"/>
                                </w:tcPr>
                                <w:p w:rsidR="00D609BB" w:rsidRDefault="00D609BB" w:rsidP="00CD68A0">
                                  <w:r>
                                    <w:t>1,402</w:t>
                                  </w:r>
                                </w:p>
                              </w:tc>
                            </w:tr>
                            <w:tr w:rsidR="00D609BB" w:rsidTr="00CD68A0">
                              <w:tc>
                                <w:tcPr>
                                  <w:tcW w:w="1842" w:type="dxa"/>
                                </w:tcPr>
                                <w:p w:rsidR="00D609BB" w:rsidRDefault="00D609BB" w:rsidP="00CD68A0">
                                  <w:r>
                                    <w:t>Median</w:t>
                                  </w:r>
                                </w:p>
                              </w:tc>
                              <w:tc>
                                <w:tcPr>
                                  <w:tcW w:w="1843" w:type="dxa"/>
                                </w:tcPr>
                                <w:p w:rsidR="00D609BB" w:rsidRDefault="00D609BB" w:rsidP="00CD68A0">
                                  <w:r>
                                    <w:t>5</w:t>
                                  </w:r>
                                </w:p>
                              </w:tc>
                            </w:tr>
                            <w:tr w:rsidR="00D609BB" w:rsidTr="00CD68A0">
                              <w:tc>
                                <w:tcPr>
                                  <w:tcW w:w="1842" w:type="dxa"/>
                                </w:tcPr>
                                <w:p w:rsidR="00D609BB" w:rsidRDefault="00D609BB" w:rsidP="00CD68A0">
                                  <w:r>
                                    <w:t xml:space="preserve">Modus </w:t>
                                  </w:r>
                                </w:p>
                              </w:tc>
                              <w:tc>
                                <w:tcPr>
                                  <w:tcW w:w="1843" w:type="dxa"/>
                                </w:tcPr>
                                <w:p w:rsidR="00D609BB" w:rsidRDefault="00D609BB" w:rsidP="00CD68A0">
                                  <w:r>
                                    <w:t>5</w:t>
                                  </w:r>
                                </w:p>
                              </w:tc>
                            </w:tr>
                          </w:tbl>
                          <w:p w:rsidR="00D609BB" w:rsidRDefault="00D609B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318.1pt;margin-top:47.1pt;width:198pt;height:79.4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">
                <v:textbox style="mso-fit-shape-to-text:t">
                  <w:txbxContent>
                    <w:tbl>
                      <w:tblPr>
                        <w:tblStyle w:val="Tabellrutenett"/>
                        <w:tblW w:w="0" w:type="auto"/>
                        <w:tblLook w:val="04A0" w:firstRow="1" w:lastRow="0" w:firstColumn="1" w:lastColumn="0" w:noHBand="0" w:noVBand="1"/>
                      </w:tblPr>
                      <w:tblGrid>
                        <w:gridCol w:w="1842"/>
                        <w:gridCol w:w="1843"/>
                      </w:tblGrid>
                      <w:tr w:rsidR="00D609BB" w:rsidTr="00CD68A0">
                        <w:tc>
                          <w:tcPr>
                            <w:tcW w:w="1842" w:type="dxa"/>
                          </w:tcPr>
                          <w:p w:rsidR="00D609BB" w:rsidRDefault="00D609BB" w:rsidP="00CD68A0">
                            <w:r>
                              <w:t>Gjennomsnitt</w:t>
                            </w:r>
                          </w:p>
                        </w:tc>
                        <w:tc>
                          <w:tcPr>
                            <w:tcW w:w="1843" w:type="dxa"/>
                          </w:tcPr>
                          <w:p w:rsidR="00D609BB" w:rsidRDefault="00D609BB" w:rsidP="00CD68A0">
                            <w:r>
                              <w:t>4,33</w:t>
                            </w:r>
                          </w:p>
                        </w:tc>
                      </w:tr>
                      <w:tr w:rsidR="00D609BB" w:rsidTr="00CD68A0">
                        <w:tc>
                          <w:tcPr>
                            <w:tcW w:w="1842" w:type="dxa"/>
                          </w:tcPr>
                          <w:p w:rsidR="00D609BB" w:rsidRDefault="00D609BB" w:rsidP="00CD68A0">
                            <w:r>
                              <w:t>Standardavvik</w:t>
                            </w:r>
                          </w:p>
                        </w:tc>
                        <w:tc>
                          <w:tcPr>
                            <w:tcW w:w="1843" w:type="dxa"/>
                          </w:tcPr>
                          <w:p w:rsidR="00D609BB" w:rsidRDefault="00D609BB" w:rsidP="00CD68A0">
                            <w:r>
                              <w:t>1,402</w:t>
                            </w:r>
                          </w:p>
                        </w:tc>
                      </w:tr>
                      <w:tr w:rsidR="00D609BB" w:rsidTr="00CD68A0">
                        <w:tc>
                          <w:tcPr>
                            <w:tcW w:w="1842" w:type="dxa"/>
                          </w:tcPr>
                          <w:p w:rsidR="00D609BB" w:rsidRDefault="00D609BB" w:rsidP="00CD68A0">
                            <w:r>
                              <w:t>Median</w:t>
                            </w:r>
                          </w:p>
                        </w:tc>
                        <w:tc>
                          <w:tcPr>
                            <w:tcW w:w="1843" w:type="dxa"/>
                          </w:tcPr>
                          <w:p w:rsidR="00D609BB" w:rsidRDefault="00D609BB" w:rsidP="00CD68A0">
                            <w:r>
                              <w:t>5</w:t>
                            </w:r>
                          </w:p>
                        </w:tc>
                      </w:tr>
                      <w:tr w:rsidR="00D609BB" w:rsidTr="00CD68A0">
                        <w:tc>
                          <w:tcPr>
                            <w:tcW w:w="1842" w:type="dxa"/>
                          </w:tcPr>
                          <w:p w:rsidR="00D609BB" w:rsidRDefault="00D609BB" w:rsidP="00CD68A0">
                            <w:r>
                              <w:t xml:space="preserve">Modus </w:t>
                            </w:r>
                          </w:p>
                        </w:tc>
                        <w:tc>
                          <w:tcPr>
                            <w:tcW w:w="1843" w:type="dxa"/>
                          </w:tcPr>
                          <w:p w:rsidR="00D609BB" w:rsidRDefault="00D609BB" w:rsidP="00CD68A0">
                            <w:r>
                              <w:t>5</w:t>
                            </w:r>
                          </w:p>
                        </w:tc>
                      </w:tr>
                    </w:tbl>
                    <w:p w:rsidR="00D609BB" w:rsidRDefault="00D609BB"/>
                  </w:txbxContent>
                </v:textbox>
              </v:shape>
            </w:pict>
          </mc:Fallback>
        </mc:AlternateContent>
      </w:r>
      <w:r w:rsidR="0063095B">
        <w:rPr>
          <w:noProof/>
        </w:rPr>
        <w:drawing>
          <wp:inline distT="0" distB="0" distL="0" distR="0">
            <wp:extent cx="4010025" cy="2807018"/>
            <wp:effectExtent l="19050" t="0" r="9525" b="0"/>
            <wp:docPr id="2" name="Bilde 1" descr="Graf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2.bmp"/>
                    <pic:cNvPicPr/>
                  </pic:nvPicPr>
                  <pic:blipFill>
                    <a:blip r:embed="rId11" cstate="print"/>
                    <a:stretch>
                      <a:fillRect/>
                    </a:stretch>
                  </pic:blipFill>
                  <pic:spPr>
                    <a:xfrm>
                      <a:off x="0" y="0"/>
                      <a:ext cx="4009525" cy="2806668"/>
                    </a:xfrm>
                    <a:prstGeom prst="rect">
                      <a:avLst/>
                    </a:prstGeom>
                  </pic:spPr>
                </pic:pic>
              </a:graphicData>
            </a:graphic>
          </wp:inline>
        </w:drawing>
      </w:r>
    </w:p>
    <w:p w:rsidR="008018EE" w:rsidRPr="0063095B" w:rsidRDefault="00693C75" w:rsidP="008018EE">
      <w:pPr>
        <w:autoSpaceDE w:val="0"/>
        <w:autoSpaceDN w:val="0"/>
        <w:adjustRightInd w:val="0"/>
        <w:spacing w:line="276" w:lineRule="auto"/>
        <w:rPr>
          <w:sz w:val="20"/>
          <w:szCs w:val="20"/>
        </w:rPr>
      </w:pPr>
      <w:r>
        <w:t>Figur</w:t>
      </w:r>
      <w:r w:rsidR="0063095B">
        <w:t xml:space="preserve"> 2.</w:t>
      </w:r>
      <w:r w:rsidR="0063095B">
        <w:tab/>
      </w:r>
      <w:r w:rsidR="0063095B">
        <w:rPr>
          <w:color w:val="000000"/>
          <w:sz w:val="20"/>
          <w:szCs w:val="20"/>
        </w:rPr>
        <w:t>Verdien 1, ”Helt uenig” – verdien 6, ”Helt enig”. Verdien 7, ”Vet ikke”.</w:t>
      </w:r>
    </w:p>
    <w:p w:rsidR="008018EE" w:rsidRDefault="008018EE" w:rsidP="008018EE">
      <w:pPr>
        <w:autoSpaceDE w:val="0"/>
        <w:autoSpaceDN w:val="0"/>
        <w:adjustRightInd w:val="0"/>
        <w:spacing w:line="276" w:lineRule="auto"/>
      </w:pPr>
    </w:p>
    <w:p w:rsidR="0063095B" w:rsidRDefault="008018EE" w:rsidP="008018EE">
      <w:pPr>
        <w:autoSpaceDE w:val="0"/>
        <w:autoSpaceDN w:val="0"/>
        <w:adjustRightInd w:val="0"/>
        <w:spacing w:line="276" w:lineRule="auto"/>
      </w:pPr>
      <w:r>
        <w:t xml:space="preserve">Histogrammet er også her venstreskjevt, noe som indikerer at studentene er relativt enige i at PPU eller yrkesfaglærerutdanningen har forberedt dem godt i forhold til å organisere en meningsfull opplæring for elever med ulike yrkesinteresser. </w:t>
      </w:r>
    </w:p>
    <w:p w:rsidR="0063095B" w:rsidRDefault="0063095B" w:rsidP="008018EE">
      <w:pPr>
        <w:autoSpaceDE w:val="0"/>
        <w:autoSpaceDN w:val="0"/>
        <w:adjustRightInd w:val="0"/>
        <w:spacing w:line="276" w:lineRule="auto"/>
      </w:pPr>
    </w:p>
    <w:p w:rsidR="008018EE" w:rsidRDefault="00CD68A0" w:rsidP="008018EE">
      <w:pPr>
        <w:autoSpaceDE w:val="0"/>
        <w:autoSpaceDN w:val="0"/>
        <w:adjustRightInd w:val="0"/>
        <w:spacing w:line="276" w:lineRule="auto"/>
      </w:pPr>
      <w:r w:rsidRPr="00CD68A0">
        <w:t>Resultatet er imidlertid ikke så</w:t>
      </w:r>
      <w:r>
        <w:t xml:space="preserve"> entydig som i tabell 1. Mens 68, 4 % krysset av for verdien 5 og 6 så er den tilsvarende prosenten i dette itemet</w:t>
      </w:r>
      <w:r w:rsidRPr="00CD68A0">
        <w:t xml:space="preserve"> </w:t>
      </w:r>
      <w:r w:rsidR="0063095B">
        <w:rPr>
          <w:b/>
        </w:rPr>
        <w:t>53</w:t>
      </w:r>
      <w:r w:rsidR="008018EE">
        <w:rPr>
          <w:b/>
        </w:rPr>
        <w:t>,</w:t>
      </w:r>
      <w:r w:rsidR="0063095B">
        <w:rPr>
          <w:b/>
        </w:rPr>
        <w:t>7</w:t>
      </w:r>
      <w:r>
        <w:t>.</w:t>
      </w:r>
      <w:r w:rsidR="008018EE">
        <w:t xml:space="preserve"> Gjennomsnittet er i denne fordelingen </w:t>
      </w:r>
      <w:r>
        <w:t xml:space="preserve">derfor noe lavere enn i forrige tabell, nemlig 4,33 med et standardavvik på 1,402. </w:t>
      </w:r>
      <w:r w:rsidR="008018EE">
        <w:t xml:space="preserve">Også her er det vanskelig å tolke standardavviket </w:t>
      </w:r>
      <w:r>
        <w:t>uten å kunne sammenlikne avviket</w:t>
      </w:r>
      <w:r w:rsidR="008018EE">
        <w:t xml:space="preserve"> med andre grupper, men </w:t>
      </w:r>
      <w:r>
        <w:t>a</w:t>
      </w:r>
      <w:r w:rsidR="008018EE">
        <w:t>t spredningen</w:t>
      </w:r>
      <w:r>
        <w:t xml:space="preserve"> er noe større enn for item 6 innebærer at studentene har en mer variert oppfatning av om utdanningen har forberedt dem godt til å organisere en meningsfull yrkesopplæring for elever med ulike yrkesinteresser. En</w:t>
      </w:r>
      <w:r w:rsidR="0063095B">
        <w:t xml:space="preserve"> modus og median </w:t>
      </w:r>
      <w:r>
        <w:t xml:space="preserve">på </w:t>
      </w:r>
      <w:r w:rsidR="0063095B">
        <w:t>5 indikerer likevel at gjennomsnittet er relativt representativt for gruppen</w:t>
      </w:r>
      <w:r>
        <w:t xml:space="preserve"> som helhet.</w:t>
      </w:r>
    </w:p>
    <w:p w:rsidR="008018EE" w:rsidRDefault="008018EE" w:rsidP="008018EE">
      <w:pPr>
        <w:autoSpaceDE w:val="0"/>
        <w:autoSpaceDN w:val="0"/>
        <w:adjustRightInd w:val="0"/>
        <w:spacing w:line="276" w:lineRule="auto"/>
      </w:pPr>
    </w:p>
    <w:p w:rsidR="008018EE" w:rsidRDefault="008018EE" w:rsidP="008018EE">
      <w:pPr>
        <w:autoSpaceDE w:val="0"/>
        <w:autoSpaceDN w:val="0"/>
        <w:adjustRightInd w:val="0"/>
        <w:spacing w:line="276" w:lineRule="auto"/>
        <w:rPr>
          <w:color w:val="000000"/>
        </w:rPr>
      </w:pPr>
      <w:r>
        <w:rPr>
          <w:color w:val="000000"/>
        </w:rPr>
        <w:t xml:space="preserve">Oppsummert så viser den univariate analysen </w:t>
      </w:r>
      <w:r w:rsidR="00A15DF1">
        <w:rPr>
          <w:color w:val="000000"/>
        </w:rPr>
        <w:t xml:space="preserve">av item 6 og 7 i undersøkelsen </w:t>
      </w:r>
      <w:r>
        <w:rPr>
          <w:color w:val="000000"/>
        </w:rPr>
        <w:t xml:space="preserve">at avgangsstudentene i YFL og PPY har en </w:t>
      </w:r>
      <w:r w:rsidR="000A528A">
        <w:rPr>
          <w:color w:val="000000"/>
        </w:rPr>
        <w:t xml:space="preserve">relativt </w:t>
      </w:r>
      <w:r>
        <w:rPr>
          <w:color w:val="000000"/>
        </w:rPr>
        <w:t>høy mestringsforventning i forhold til det å kunne organisere en meningsfull yrkesopplæring for elever med ulike yrkesinteresser og at de opplever at utdanningen har forberedt dem godt til dette arbeidet.</w:t>
      </w:r>
    </w:p>
    <w:p w:rsidR="008018EE" w:rsidRDefault="008018EE"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E2366B" w:rsidRDefault="00E2366B"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A15DF1" w:rsidRDefault="00A15DF1" w:rsidP="008018EE">
      <w:pPr>
        <w:autoSpaceDE w:val="0"/>
        <w:autoSpaceDN w:val="0"/>
        <w:adjustRightInd w:val="0"/>
        <w:spacing w:line="276" w:lineRule="auto"/>
        <w:rPr>
          <w:color w:val="000000"/>
        </w:rPr>
      </w:pPr>
    </w:p>
    <w:p w:rsidR="008018EE" w:rsidRPr="003238F4" w:rsidRDefault="008018EE" w:rsidP="008018EE">
      <w:pPr>
        <w:pStyle w:val="Undertittel"/>
        <w:rPr>
          <w:rStyle w:val="Sterkutheving"/>
          <w:i/>
          <w:sz w:val="28"/>
          <w:szCs w:val="28"/>
        </w:rPr>
      </w:pPr>
      <w:r w:rsidRPr="003238F4">
        <w:rPr>
          <w:rStyle w:val="Sterkutheving"/>
          <w:i/>
          <w:sz w:val="28"/>
          <w:szCs w:val="28"/>
        </w:rPr>
        <w:lastRenderedPageBreak/>
        <w:t>Krysstabeller og gjennomsnittsmål for de ulike utdanningene</w:t>
      </w:r>
    </w:p>
    <w:tbl>
      <w:tblPr>
        <w:tblW w:w="9513" w:type="dxa"/>
        <w:tblInd w:w="55" w:type="dxa"/>
        <w:tblLayout w:type="fixed"/>
        <w:tblCellMar>
          <w:left w:w="70" w:type="dxa"/>
          <w:right w:w="70" w:type="dxa"/>
        </w:tblCellMar>
        <w:tblLook w:val="04A0" w:firstRow="1" w:lastRow="0" w:firstColumn="1" w:lastColumn="0" w:noHBand="0" w:noVBand="1"/>
      </w:tblPr>
      <w:tblGrid>
        <w:gridCol w:w="2100"/>
        <w:gridCol w:w="1034"/>
        <w:gridCol w:w="992"/>
        <w:gridCol w:w="992"/>
        <w:gridCol w:w="993"/>
        <w:gridCol w:w="1134"/>
        <w:gridCol w:w="992"/>
        <w:gridCol w:w="850"/>
        <w:gridCol w:w="426"/>
      </w:tblGrid>
      <w:tr w:rsidR="008018EE" w:rsidTr="008018EE">
        <w:trPr>
          <w:trHeight w:val="300"/>
        </w:trPr>
        <w:tc>
          <w:tcPr>
            <w:tcW w:w="9513" w:type="dxa"/>
            <w:gridSpan w:val="9"/>
            <w:tcBorders>
              <w:top w:val="nil"/>
              <w:left w:val="nil"/>
              <w:bottom w:val="nil"/>
              <w:right w:val="nil"/>
            </w:tcBorders>
            <w:shd w:val="clear" w:color="auto" w:fill="auto"/>
            <w:vAlign w:val="center"/>
            <w:hideMark/>
          </w:tcPr>
          <w:p w:rsidR="008018EE" w:rsidRDefault="00A15DF1" w:rsidP="008018EE">
            <w:r>
              <w:t xml:space="preserve">I forrige avsnitt ble gjennomsnitt, standardavvik, modus og median for hele gruppen av avgangsstudenter vist. </w:t>
            </w:r>
            <w:r w:rsidR="005C6884">
              <w:t>K</w:t>
            </w:r>
            <w:r w:rsidR="008018EE">
              <w:t>rysstabell</w:t>
            </w:r>
            <w:r w:rsidR="005C6884">
              <w:t>er</w:t>
            </w:r>
            <w:r w:rsidR="008018EE">
              <w:t xml:space="preserve"> med </w:t>
            </w:r>
            <w:r w:rsidR="005C6884">
              <w:t xml:space="preserve">prosentvis fordeling av svar og </w:t>
            </w:r>
            <w:r w:rsidR="008018EE">
              <w:t xml:space="preserve">gjennomsnittsverdier pr utdanning kan </w:t>
            </w:r>
            <w:r>
              <w:t xml:space="preserve">gi mer konkret informasjon om </w:t>
            </w:r>
            <w:r w:rsidR="008018EE">
              <w:t xml:space="preserve">innbyrdes forskjeller mellom utdanningene. Gjennomsnittsverdien fordelt pr utdanning gir også informasjon som ikke så lett lar seg observere i et histogram som viser den totale fordelingen av skårer. </w:t>
            </w:r>
          </w:p>
          <w:p w:rsidR="008018EE" w:rsidRDefault="008018EE" w:rsidP="008018EE"/>
          <w:p w:rsidR="008018EE" w:rsidRDefault="000A528A" w:rsidP="008018EE">
            <w:r>
              <w:t>Figur</w:t>
            </w:r>
            <w:r w:rsidR="00A15DF1">
              <w:t xml:space="preserve"> 3</w:t>
            </w:r>
            <w:r w:rsidR="008018EE">
              <w:t xml:space="preserve"> vi</w:t>
            </w:r>
            <w:r w:rsidR="005C6884">
              <w:t>ser en viss spredning av skårer.</w:t>
            </w:r>
            <w:r w:rsidR="008018EE">
              <w:t xml:space="preserve"> </w:t>
            </w:r>
            <w:r w:rsidR="005C6884">
              <w:t>En relativt stor andel av</w:t>
            </w:r>
            <w:r w:rsidR="008018EE">
              <w:t xml:space="preserve"> studentene krysser av for verdie</w:t>
            </w:r>
            <w:r w:rsidR="005C6884">
              <w:t xml:space="preserve">ne 4, 5 og 6, men det interessante er at fordelingen av svar i den nedre del av skalaen er relativt forskjellig fra utdanning til utdanning. </w:t>
            </w:r>
            <w:r w:rsidR="008018EE">
              <w:t xml:space="preserve"> Gjennomsnittet for de ulike </w:t>
            </w:r>
            <w:r w:rsidR="005C6884">
              <w:t>utdanningene varierer også</w:t>
            </w:r>
            <w:r w:rsidR="008018EE">
              <w:t xml:space="preserve"> fra 4,64 til 5,4, noe som må sies å være en relativt betydelig differanse. Mestringsforventningen er for eksempel hele 0,8 prosentpoeng lavere blant studentene i YFLRM enn de er blant studentene i YFLDH. </w:t>
            </w:r>
          </w:p>
          <w:p w:rsidR="008018EE" w:rsidRDefault="008018EE" w:rsidP="008018EE">
            <w:pPr>
              <w:rPr>
                <w:rFonts w:ascii="Arial Bold" w:hAnsi="Arial Bold" w:cs="Calibri"/>
                <w:b/>
                <w:bCs/>
                <w:color w:val="000000"/>
                <w:sz w:val="18"/>
                <w:szCs w:val="18"/>
              </w:rPr>
            </w:pPr>
          </w:p>
        </w:tc>
      </w:tr>
      <w:tr w:rsidR="008018EE" w:rsidTr="008018EE">
        <w:trPr>
          <w:gridAfter w:val="1"/>
          <w:wAfter w:w="426" w:type="dxa"/>
          <w:trHeight w:val="315"/>
        </w:trPr>
        <w:tc>
          <w:tcPr>
            <w:tcW w:w="31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018EE" w:rsidRDefault="0066320F" w:rsidP="008018EE">
            <w:pPr>
              <w:jc w:val="center"/>
              <w:rPr>
                <w:rFonts w:ascii="Arial" w:hAnsi="Arial" w:cs="Arial"/>
                <w:sz w:val="20"/>
                <w:szCs w:val="20"/>
              </w:rPr>
            </w:pPr>
            <w:r>
              <w:rPr>
                <w:rFonts w:ascii="Arial" w:hAnsi="Arial" w:cs="Arial"/>
                <w:sz w:val="20"/>
                <w:szCs w:val="20"/>
              </w:rPr>
              <w:t>Skåreverdier fra 1 - 7</w:t>
            </w:r>
          </w:p>
        </w:tc>
        <w:tc>
          <w:tcPr>
            <w:tcW w:w="5103" w:type="dxa"/>
            <w:gridSpan w:val="5"/>
            <w:tcBorders>
              <w:top w:val="single" w:sz="8" w:space="0" w:color="auto"/>
              <w:left w:val="single" w:sz="8" w:space="0" w:color="auto"/>
              <w:bottom w:val="single" w:sz="4" w:space="0" w:color="000000"/>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3: Studiested</w:t>
            </w:r>
          </w:p>
        </w:tc>
        <w:tc>
          <w:tcPr>
            <w:tcW w:w="850" w:type="dxa"/>
            <w:vMerge w:val="restart"/>
            <w:tcBorders>
              <w:top w:val="single" w:sz="8" w:space="0" w:color="auto"/>
              <w:left w:val="single" w:sz="4" w:space="0" w:color="000000"/>
              <w:bottom w:val="single" w:sz="4" w:space="0" w:color="000000"/>
              <w:right w:val="single" w:sz="8" w:space="0" w:color="auto"/>
            </w:tcBorders>
            <w:shd w:val="clear" w:color="auto" w:fill="auto"/>
            <w:vAlign w:val="bottom"/>
            <w:hideMark/>
          </w:tcPr>
          <w:p w:rsidR="008018EE" w:rsidRDefault="0066320F" w:rsidP="008018EE">
            <w:pPr>
              <w:jc w:val="center"/>
              <w:rPr>
                <w:rFonts w:ascii="Arial" w:hAnsi="Arial" w:cs="Arial"/>
                <w:color w:val="000000"/>
                <w:sz w:val="18"/>
                <w:szCs w:val="18"/>
              </w:rPr>
            </w:pPr>
            <w:r>
              <w:rPr>
                <w:rFonts w:ascii="Arial" w:hAnsi="Arial" w:cs="Arial"/>
                <w:color w:val="000000"/>
                <w:sz w:val="18"/>
                <w:szCs w:val="18"/>
              </w:rPr>
              <w:t>Total</w:t>
            </w:r>
          </w:p>
        </w:tc>
      </w:tr>
      <w:tr w:rsidR="008018EE" w:rsidTr="008018EE">
        <w:trPr>
          <w:gridAfter w:val="1"/>
          <w:wAfter w:w="426" w:type="dxa"/>
          <w:trHeight w:val="315"/>
        </w:trPr>
        <w:tc>
          <w:tcPr>
            <w:tcW w:w="3134" w:type="dxa"/>
            <w:gridSpan w:val="2"/>
            <w:vMerge/>
            <w:tcBorders>
              <w:top w:val="single" w:sz="8" w:space="0" w:color="auto"/>
              <w:left w:val="single" w:sz="8" w:space="0" w:color="auto"/>
              <w:bottom w:val="single" w:sz="8" w:space="0" w:color="000000"/>
              <w:right w:val="single" w:sz="8" w:space="0" w:color="000000"/>
            </w:tcBorders>
            <w:vAlign w:val="center"/>
            <w:hideMark/>
          </w:tcPr>
          <w:p w:rsidR="008018EE" w:rsidRDefault="008018EE" w:rsidP="008018EE">
            <w:pPr>
              <w:rPr>
                <w:rFonts w:ascii="Arial" w:hAnsi="Arial" w:cs="Arial"/>
                <w:sz w:val="20"/>
                <w:szCs w:val="20"/>
              </w:rPr>
            </w:pPr>
          </w:p>
        </w:tc>
        <w:tc>
          <w:tcPr>
            <w:tcW w:w="992" w:type="dxa"/>
            <w:tcBorders>
              <w:top w:val="nil"/>
              <w:left w:val="single" w:sz="8" w:space="0" w:color="auto"/>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PPU</w:t>
            </w:r>
          </w:p>
        </w:tc>
        <w:tc>
          <w:tcPr>
            <w:tcW w:w="992"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YFLDH</w:t>
            </w:r>
          </w:p>
        </w:tc>
        <w:tc>
          <w:tcPr>
            <w:tcW w:w="993"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YFLHS</w:t>
            </w:r>
          </w:p>
        </w:tc>
        <w:tc>
          <w:tcPr>
            <w:tcW w:w="1134"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YFLRM</w:t>
            </w:r>
          </w:p>
        </w:tc>
        <w:tc>
          <w:tcPr>
            <w:tcW w:w="992"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YFLTIP</w:t>
            </w:r>
          </w:p>
        </w:tc>
        <w:tc>
          <w:tcPr>
            <w:tcW w:w="850" w:type="dxa"/>
            <w:vMerge/>
            <w:tcBorders>
              <w:top w:val="single" w:sz="8" w:space="0" w:color="auto"/>
              <w:left w:val="single" w:sz="4" w:space="0" w:color="000000"/>
              <w:bottom w:val="single" w:sz="4" w:space="0" w:color="000000"/>
              <w:right w:val="single" w:sz="8" w:space="0" w:color="auto"/>
            </w:tcBorders>
            <w:vAlign w:val="center"/>
            <w:hideMark/>
          </w:tcPr>
          <w:p w:rsidR="008018EE" w:rsidRDefault="008018EE" w:rsidP="008018EE">
            <w:pPr>
              <w:rPr>
                <w:rFonts w:ascii="Arial" w:hAnsi="Arial" w:cs="Arial"/>
                <w:color w:val="000000"/>
                <w:sz w:val="18"/>
                <w:szCs w:val="18"/>
              </w:rPr>
            </w:pPr>
          </w:p>
        </w:tc>
      </w:tr>
      <w:tr w:rsidR="008018EE" w:rsidTr="008018EE">
        <w:trPr>
          <w:gridAfter w:val="1"/>
          <w:wAfter w:w="426" w:type="dxa"/>
          <w:trHeight w:val="300"/>
        </w:trPr>
        <w:tc>
          <w:tcPr>
            <w:tcW w:w="2100" w:type="dxa"/>
            <w:vMerge w:val="restart"/>
            <w:tcBorders>
              <w:top w:val="nil"/>
              <w:left w:val="single" w:sz="8" w:space="0" w:color="auto"/>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6: Jeg er trygg på at jeg som kommende yrkesfaglærer kan organisere en meningsfull yrkesopplæring for elever med ulike yrkesinteresser</w:t>
            </w:r>
          </w:p>
        </w:tc>
        <w:tc>
          <w:tcPr>
            <w:tcW w:w="1034"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1</w:t>
            </w:r>
          </w:p>
        </w:tc>
        <w:tc>
          <w:tcPr>
            <w:tcW w:w="992"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993"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85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w:t>
            </w:r>
          </w:p>
        </w:tc>
      </w:tr>
      <w:tr w:rsidR="008018EE" w:rsidTr="008018EE">
        <w:trPr>
          <w:gridAfter w:val="1"/>
          <w:wAfter w:w="426" w:type="dxa"/>
          <w:trHeight w:val="300"/>
        </w:trPr>
        <w:tc>
          <w:tcPr>
            <w:tcW w:w="2100" w:type="dxa"/>
            <w:vMerge/>
            <w:tcBorders>
              <w:top w:val="nil"/>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1034"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2</w:t>
            </w:r>
          </w:p>
        </w:tc>
        <w:tc>
          <w:tcPr>
            <w:tcW w:w="992"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993"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85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w:t>
            </w:r>
          </w:p>
        </w:tc>
      </w:tr>
      <w:tr w:rsidR="008018EE" w:rsidTr="008018EE">
        <w:trPr>
          <w:gridAfter w:val="1"/>
          <w:wAfter w:w="426" w:type="dxa"/>
          <w:trHeight w:val="300"/>
        </w:trPr>
        <w:tc>
          <w:tcPr>
            <w:tcW w:w="2100" w:type="dxa"/>
            <w:vMerge/>
            <w:tcBorders>
              <w:top w:val="nil"/>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1034"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3</w:t>
            </w:r>
          </w:p>
        </w:tc>
        <w:tc>
          <w:tcPr>
            <w:tcW w:w="992"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12</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993"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6</w:t>
            </w:r>
          </w:p>
        </w:tc>
        <w:tc>
          <w:tcPr>
            <w:tcW w:w="1134"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85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8</w:t>
            </w:r>
          </w:p>
        </w:tc>
      </w:tr>
      <w:tr w:rsidR="008018EE" w:rsidTr="008018EE">
        <w:trPr>
          <w:gridAfter w:val="1"/>
          <w:wAfter w:w="426" w:type="dxa"/>
          <w:trHeight w:val="300"/>
        </w:trPr>
        <w:tc>
          <w:tcPr>
            <w:tcW w:w="2100" w:type="dxa"/>
            <w:vMerge/>
            <w:tcBorders>
              <w:top w:val="nil"/>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1034"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4</w:t>
            </w:r>
          </w:p>
        </w:tc>
        <w:tc>
          <w:tcPr>
            <w:tcW w:w="992"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16</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993"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28</w:t>
            </w:r>
          </w:p>
        </w:tc>
        <w:tc>
          <w:tcPr>
            <w:tcW w:w="1134"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14</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85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15</w:t>
            </w:r>
          </w:p>
        </w:tc>
      </w:tr>
      <w:tr w:rsidR="008018EE" w:rsidTr="008018EE">
        <w:trPr>
          <w:gridAfter w:val="1"/>
          <w:wAfter w:w="426" w:type="dxa"/>
          <w:trHeight w:val="300"/>
        </w:trPr>
        <w:tc>
          <w:tcPr>
            <w:tcW w:w="2100" w:type="dxa"/>
            <w:vMerge/>
            <w:tcBorders>
              <w:top w:val="nil"/>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1034"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5</w:t>
            </w:r>
          </w:p>
        </w:tc>
        <w:tc>
          <w:tcPr>
            <w:tcW w:w="992"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41</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47</w:t>
            </w:r>
          </w:p>
        </w:tc>
        <w:tc>
          <w:tcPr>
            <w:tcW w:w="993"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33</w:t>
            </w:r>
          </w:p>
        </w:tc>
        <w:tc>
          <w:tcPr>
            <w:tcW w:w="1134"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21</w:t>
            </w:r>
          </w:p>
        </w:tc>
        <w:tc>
          <w:tcPr>
            <w:tcW w:w="992"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47</w:t>
            </w:r>
          </w:p>
        </w:tc>
        <w:tc>
          <w:tcPr>
            <w:tcW w:w="85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39</w:t>
            </w:r>
          </w:p>
        </w:tc>
      </w:tr>
      <w:tr w:rsidR="008018EE" w:rsidTr="008018EE">
        <w:trPr>
          <w:gridAfter w:val="1"/>
          <w:wAfter w:w="426" w:type="dxa"/>
          <w:trHeight w:val="435"/>
        </w:trPr>
        <w:tc>
          <w:tcPr>
            <w:tcW w:w="2100" w:type="dxa"/>
            <w:vMerge/>
            <w:tcBorders>
              <w:top w:val="nil"/>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1034" w:type="dxa"/>
            <w:tcBorders>
              <w:top w:val="nil"/>
              <w:left w:val="nil"/>
              <w:bottom w:val="single" w:sz="4" w:space="0" w:color="auto"/>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6</w:t>
            </w:r>
          </w:p>
        </w:tc>
        <w:tc>
          <w:tcPr>
            <w:tcW w:w="992" w:type="dxa"/>
            <w:tcBorders>
              <w:top w:val="nil"/>
              <w:left w:val="single" w:sz="8" w:space="0" w:color="auto"/>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25</w:t>
            </w:r>
          </w:p>
        </w:tc>
        <w:tc>
          <w:tcPr>
            <w:tcW w:w="992"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47</w:t>
            </w:r>
          </w:p>
        </w:tc>
        <w:tc>
          <w:tcPr>
            <w:tcW w:w="993"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33</w:t>
            </w:r>
          </w:p>
        </w:tc>
        <w:tc>
          <w:tcPr>
            <w:tcW w:w="1134"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43</w:t>
            </w:r>
          </w:p>
        </w:tc>
        <w:tc>
          <w:tcPr>
            <w:tcW w:w="992"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40</w:t>
            </w:r>
          </w:p>
        </w:tc>
        <w:tc>
          <w:tcPr>
            <w:tcW w:w="850" w:type="dxa"/>
            <w:tcBorders>
              <w:top w:val="nil"/>
              <w:left w:val="nil"/>
              <w:bottom w:val="single" w:sz="4" w:space="0" w:color="auto"/>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34</w:t>
            </w:r>
          </w:p>
        </w:tc>
      </w:tr>
      <w:tr w:rsidR="008018EE" w:rsidTr="008018EE">
        <w:trPr>
          <w:gridAfter w:val="1"/>
          <w:wAfter w:w="426" w:type="dxa"/>
          <w:trHeight w:val="300"/>
        </w:trPr>
        <w:tc>
          <w:tcPr>
            <w:tcW w:w="3134" w:type="dxa"/>
            <w:gridSpan w:val="2"/>
            <w:tcBorders>
              <w:top w:val="nil"/>
              <w:left w:val="single" w:sz="8" w:space="0" w:color="auto"/>
              <w:bottom w:val="single" w:sz="4" w:space="0" w:color="auto"/>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Total %</w:t>
            </w:r>
          </w:p>
        </w:tc>
        <w:tc>
          <w:tcPr>
            <w:tcW w:w="992" w:type="dxa"/>
            <w:tcBorders>
              <w:top w:val="nil"/>
              <w:left w:val="single" w:sz="8" w:space="0" w:color="auto"/>
              <w:bottom w:val="nil"/>
              <w:right w:val="single" w:sz="4" w:space="0" w:color="000000"/>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nil"/>
              <w:bottom w:val="nil"/>
              <w:right w:val="single" w:sz="4" w:space="0" w:color="000000"/>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993" w:type="dxa"/>
            <w:tcBorders>
              <w:top w:val="nil"/>
              <w:left w:val="nil"/>
              <w:bottom w:val="nil"/>
              <w:right w:val="single" w:sz="4" w:space="0" w:color="000000"/>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1134" w:type="dxa"/>
            <w:tcBorders>
              <w:top w:val="nil"/>
              <w:left w:val="nil"/>
              <w:bottom w:val="nil"/>
              <w:right w:val="single" w:sz="4" w:space="0" w:color="000000"/>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992" w:type="dxa"/>
            <w:tcBorders>
              <w:top w:val="nil"/>
              <w:left w:val="nil"/>
              <w:bottom w:val="nil"/>
              <w:right w:val="single" w:sz="4" w:space="0" w:color="000000"/>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85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r>
      <w:tr w:rsidR="008018EE" w:rsidTr="008018EE">
        <w:trPr>
          <w:gridAfter w:val="1"/>
          <w:wAfter w:w="426" w:type="dxa"/>
          <w:trHeight w:val="315"/>
        </w:trPr>
        <w:tc>
          <w:tcPr>
            <w:tcW w:w="2100" w:type="dxa"/>
            <w:tcBorders>
              <w:top w:val="nil"/>
              <w:left w:val="single" w:sz="8" w:space="0" w:color="auto"/>
              <w:bottom w:val="single" w:sz="8" w:space="0" w:color="auto"/>
              <w:right w:val="nil"/>
            </w:tcBorders>
            <w:shd w:val="clear" w:color="auto" w:fill="auto"/>
            <w:noWrap/>
            <w:vAlign w:val="bottom"/>
            <w:hideMark/>
          </w:tcPr>
          <w:p w:rsidR="008018EE" w:rsidRPr="00F05750" w:rsidRDefault="008018EE" w:rsidP="008018EE">
            <w:pPr>
              <w:rPr>
                <w:rFonts w:ascii="Calibri" w:hAnsi="Calibri" w:cs="Calibri"/>
                <w:b/>
                <w:color w:val="000000"/>
                <w:sz w:val="22"/>
                <w:szCs w:val="22"/>
              </w:rPr>
            </w:pPr>
            <w:r>
              <w:rPr>
                <w:rFonts w:ascii="Calibri" w:hAnsi="Calibri" w:cs="Calibri"/>
                <w:b/>
                <w:color w:val="000000"/>
                <w:sz w:val="22"/>
                <w:szCs w:val="22"/>
              </w:rPr>
              <w:t>Gjennomsnitt</w:t>
            </w:r>
          </w:p>
        </w:tc>
        <w:tc>
          <w:tcPr>
            <w:tcW w:w="1034" w:type="dxa"/>
            <w:tcBorders>
              <w:top w:val="nil"/>
              <w:left w:val="nil"/>
              <w:bottom w:val="single" w:sz="8" w:space="0" w:color="auto"/>
              <w:right w:val="nil"/>
            </w:tcBorders>
            <w:shd w:val="clear" w:color="auto" w:fill="auto"/>
            <w:noWrap/>
            <w:vAlign w:val="bottom"/>
            <w:hideMark/>
          </w:tcPr>
          <w:p w:rsidR="008018EE" w:rsidRPr="00F05750" w:rsidRDefault="008018EE" w:rsidP="008018EE">
            <w:pPr>
              <w:rPr>
                <w:rFonts w:ascii="Calibri" w:hAnsi="Calibri" w:cs="Calibri"/>
                <w:b/>
                <w:color w:val="000000"/>
                <w:sz w:val="22"/>
                <w:szCs w:val="22"/>
              </w:rPr>
            </w:pPr>
            <w:r w:rsidRPr="00F05750">
              <w:rPr>
                <w:rFonts w:ascii="Calibri" w:hAnsi="Calibri" w:cs="Calibri"/>
                <w:b/>
                <w:color w:val="000000"/>
                <w:sz w:val="22"/>
                <w:szCs w:val="22"/>
              </w:rPr>
              <w:t> </w:t>
            </w: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018EE" w:rsidRPr="00F05750" w:rsidRDefault="008018EE" w:rsidP="008018EE">
            <w:pPr>
              <w:jc w:val="right"/>
              <w:rPr>
                <w:rFonts w:ascii="Arial" w:hAnsi="Arial" w:cs="Arial"/>
                <w:b/>
                <w:color w:val="000000"/>
                <w:sz w:val="18"/>
                <w:szCs w:val="18"/>
              </w:rPr>
            </w:pPr>
            <w:r w:rsidRPr="00F05750">
              <w:rPr>
                <w:rFonts w:ascii="Arial" w:hAnsi="Arial" w:cs="Arial"/>
                <w:b/>
                <w:color w:val="000000"/>
                <w:sz w:val="18"/>
                <w:szCs w:val="18"/>
              </w:rPr>
              <w:t>4,6</w:t>
            </w:r>
            <w:r>
              <w:rPr>
                <w:rFonts w:ascii="Arial" w:hAnsi="Arial" w:cs="Arial"/>
                <w:b/>
                <w:color w:val="000000"/>
                <w:sz w:val="18"/>
                <w:szCs w:val="18"/>
              </w:rPr>
              <w:t>5</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8018EE" w:rsidRPr="00F05750" w:rsidRDefault="008018EE" w:rsidP="008018EE">
            <w:pPr>
              <w:jc w:val="right"/>
              <w:rPr>
                <w:rFonts w:ascii="Arial" w:hAnsi="Arial" w:cs="Arial"/>
                <w:b/>
                <w:color w:val="000000"/>
                <w:sz w:val="18"/>
                <w:szCs w:val="18"/>
              </w:rPr>
            </w:pPr>
            <w:r w:rsidRPr="00F05750">
              <w:rPr>
                <w:rFonts w:ascii="Arial" w:hAnsi="Arial" w:cs="Arial"/>
                <w:b/>
                <w:color w:val="000000"/>
                <w:sz w:val="18"/>
                <w:szCs w:val="18"/>
              </w:rPr>
              <w:t>5,40</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8018EE" w:rsidRPr="00F05750" w:rsidRDefault="008018EE" w:rsidP="008018EE">
            <w:pPr>
              <w:jc w:val="right"/>
              <w:rPr>
                <w:rFonts w:ascii="Arial" w:hAnsi="Arial" w:cs="Arial"/>
                <w:b/>
                <w:color w:val="000000"/>
                <w:sz w:val="18"/>
                <w:szCs w:val="18"/>
              </w:rPr>
            </w:pPr>
            <w:r w:rsidRPr="00F05750">
              <w:rPr>
                <w:rFonts w:ascii="Arial" w:hAnsi="Arial" w:cs="Arial"/>
                <w:b/>
                <w:color w:val="000000"/>
                <w:sz w:val="18"/>
                <w:szCs w:val="18"/>
              </w:rPr>
              <w:t>4,94</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8018EE" w:rsidRPr="00F05750" w:rsidRDefault="008018EE" w:rsidP="008018EE">
            <w:pPr>
              <w:jc w:val="right"/>
              <w:rPr>
                <w:rFonts w:ascii="Arial" w:hAnsi="Arial" w:cs="Arial"/>
                <w:b/>
                <w:color w:val="000000"/>
                <w:sz w:val="18"/>
                <w:szCs w:val="18"/>
              </w:rPr>
            </w:pPr>
            <w:r w:rsidRPr="00F05750">
              <w:rPr>
                <w:rFonts w:ascii="Arial" w:hAnsi="Arial" w:cs="Arial"/>
                <w:b/>
                <w:color w:val="000000"/>
                <w:sz w:val="18"/>
                <w:szCs w:val="18"/>
              </w:rPr>
              <w:t>4,</w:t>
            </w:r>
            <w:r>
              <w:rPr>
                <w:rFonts w:ascii="Arial" w:hAnsi="Arial" w:cs="Arial"/>
                <w:b/>
                <w:color w:val="000000"/>
                <w:sz w:val="18"/>
                <w:szCs w:val="18"/>
              </w:rPr>
              <w:t>64</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8018EE" w:rsidRPr="00F05750" w:rsidRDefault="008018EE" w:rsidP="008018EE">
            <w:pPr>
              <w:jc w:val="right"/>
              <w:rPr>
                <w:rFonts w:ascii="Arial" w:hAnsi="Arial" w:cs="Arial"/>
                <w:b/>
                <w:color w:val="000000"/>
                <w:sz w:val="18"/>
                <w:szCs w:val="18"/>
              </w:rPr>
            </w:pPr>
            <w:r w:rsidRPr="00F05750">
              <w:rPr>
                <w:rFonts w:ascii="Arial" w:hAnsi="Arial" w:cs="Arial"/>
                <w:b/>
                <w:color w:val="000000"/>
                <w:sz w:val="18"/>
                <w:szCs w:val="18"/>
              </w:rPr>
              <w:t>5,20</w:t>
            </w:r>
          </w:p>
        </w:tc>
        <w:tc>
          <w:tcPr>
            <w:tcW w:w="850" w:type="dxa"/>
            <w:tcBorders>
              <w:top w:val="nil"/>
              <w:left w:val="nil"/>
              <w:bottom w:val="single" w:sz="8" w:space="0" w:color="auto"/>
              <w:right w:val="single" w:sz="8" w:space="0" w:color="auto"/>
            </w:tcBorders>
            <w:shd w:val="clear" w:color="auto" w:fill="auto"/>
            <w:noWrap/>
            <w:vAlign w:val="bottom"/>
            <w:hideMark/>
          </w:tcPr>
          <w:p w:rsidR="008018EE" w:rsidRPr="00F05750" w:rsidRDefault="008018EE" w:rsidP="008018EE">
            <w:pPr>
              <w:jc w:val="right"/>
              <w:rPr>
                <w:rFonts w:ascii="Arial" w:hAnsi="Arial" w:cs="Arial"/>
                <w:b/>
                <w:color w:val="000000"/>
                <w:sz w:val="18"/>
                <w:szCs w:val="18"/>
              </w:rPr>
            </w:pPr>
            <w:r w:rsidRPr="00F05750">
              <w:rPr>
                <w:rFonts w:ascii="Arial" w:hAnsi="Arial" w:cs="Arial"/>
                <w:b/>
                <w:color w:val="000000"/>
                <w:sz w:val="18"/>
                <w:szCs w:val="18"/>
              </w:rPr>
              <w:t>4,87</w:t>
            </w:r>
          </w:p>
        </w:tc>
      </w:tr>
    </w:tbl>
    <w:p w:rsidR="008018EE" w:rsidRPr="005C6884" w:rsidRDefault="000A528A" w:rsidP="008018EE">
      <w:pPr>
        <w:rPr>
          <w:sz w:val="20"/>
          <w:szCs w:val="20"/>
        </w:rPr>
      </w:pPr>
      <w:r>
        <w:t>Figur</w:t>
      </w:r>
      <w:r w:rsidR="00A15DF1">
        <w:t xml:space="preserve"> 3</w:t>
      </w:r>
      <w:r>
        <w:tab/>
      </w:r>
      <w:r w:rsidR="005C6884">
        <w:tab/>
        <w:t>Fordeling i %. Gjennomsnitt i fet skrift.</w:t>
      </w:r>
    </w:p>
    <w:p w:rsidR="008018EE" w:rsidRDefault="008018EE" w:rsidP="008018EE">
      <w:pPr>
        <w:autoSpaceDE w:val="0"/>
        <w:autoSpaceDN w:val="0"/>
        <w:adjustRightInd w:val="0"/>
        <w:spacing w:line="276" w:lineRule="auto"/>
      </w:pPr>
    </w:p>
    <w:p w:rsidR="008018EE" w:rsidRDefault="000A528A" w:rsidP="008018EE">
      <w:pPr>
        <w:autoSpaceDE w:val="0"/>
        <w:autoSpaceDN w:val="0"/>
        <w:adjustRightInd w:val="0"/>
        <w:spacing w:line="276" w:lineRule="auto"/>
      </w:pPr>
      <w:r>
        <w:t>Figur</w:t>
      </w:r>
      <w:r w:rsidR="005C6884">
        <w:t xml:space="preserve"> 4 viser også</w:t>
      </w:r>
      <w:r w:rsidR="008018EE">
        <w:t xml:space="preserve"> en viss forskjell med hensyn til plassering av skårer. Gjennomsnittet for de ulike utdanningene er generelt noe lavere enn det som er tilfelle i item 6, men varierer samtidig mindre fra utdanning til utdanning. Gjennomsnittet er fortsatt høyest blant studentene fra YFLDH, men nå er gjennomsnittet lavest hos studentene som har gjennomført PPU. </w:t>
      </w:r>
    </w:p>
    <w:p w:rsidR="008018EE" w:rsidRDefault="008018EE" w:rsidP="008018EE">
      <w:pPr>
        <w:autoSpaceDE w:val="0"/>
        <w:autoSpaceDN w:val="0"/>
        <w:adjustRightInd w:val="0"/>
        <w:spacing w:line="276" w:lineRule="auto"/>
      </w:pPr>
    </w:p>
    <w:tbl>
      <w:tblPr>
        <w:tblW w:w="9100" w:type="dxa"/>
        <w:tblInd w:w="55" w:type="dxa"/>
        <w:tblCellMar>
          <w:left w:w="70" w:type="dxa"/>
          <w:right w:w="70" w:type="dxa"/>
        </w:tblCellMar>
        <w:tblLook w:val="04A0" w:firstRow="1" w:lastRow="0" w:firstColumn="1" w:lastColumn="0" w:noHBand="0" w:noVBand="1"/>
      </w:tblPr>
      <w:tblGrid>
        <w:gridCol w:w="2540"/>
        <w:gridCol w:w="580"/>
        <w:gridCol w:w="1000"/>
        <w:gridCol w:w="1060"/>
        <w:gridCol w:w="1000"/>
        <w:gridCol w:w="1060"/>
        <w:gridCol w:w="980"/>
        <w:gridCol w:w="880"/>
      </w:tblGrid>
      <w:tr w:rsidR="008018EE" w:rsidTr="008018EE">
        <w:trPr>
          <w:trHeight w:val="315"/>
        </w:trPr>
        <w:tc>
          <w:tcPr>
            <w:tcW w:w="3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018EE" w:rsidRDefault="0066320F" w:rsidP="008018EE">
            <w:pPr>
              <w:jc w:val="center"/>
              <w:rPr>
                <w:rFonts w:ascii="Arial" w:hAnsi="Arial" w:cs="Arial"/>
                <w:sz w:val="20"/>
                <w:szCs w:val="20"/>
              </w:rPr>
            </w:pPr>
            <w:r>
              <w:rPr>
                <w:rFonts w:ascii="Arial" w:hAnsi="Arial" w:cs="Arial"/>
                <w:sz w:val="20"/>
                <w:szCs w:val="20"/>
              </w:rPr>
              <w:t>Skåreverdier fra 1 - 7</w:t>
            </w:r>
          </w:p>
        </w:tc>
        <w:tc>
          <w:tcPr>
            <w:tcW w:w="5100" w:type="dxa"/>
            <w:gridSpan w:val="5"/>
            <w:tcBorders>
              <w:top w:val="single" w:sz="8" w:space="0" w:color="auto"/>
              <w:left w:val="single" w:sz="8" w:space="0" w:color="auto"/>
              <w:bottom w:val="single" w:sz="4" w:space="0" w:color="000000"/>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3: Studiested</w:t>
            </w:r>
          </w:p>
        </w:tc>
        <w:tc>
          <w:tcPr>
            <w:tcW w:w="880" w:type="dxa"/>
            <w:vMerge w:val="restart"/>
            <w:tcBorders>
              <w:top w:val="single" w:sz="8" w:space="0" w:color="auto"/>
              <w:left w:val="single" w:sz="4" w:space="0" w:color="000000"/>
              <w:bottom w:val="single" w:sz="4" w:space="0" w:color="000000"/>
              <w:right w:val="single" w:sz="8" w:space="0" w:color="auto"/>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Total</w:t>
            </w:r>
          </w:p>
        </w:tc>
      </w:tr>
      <w:tr w:rsidR="008018EE" w:rsidTr="008018EE">
        <w:trPr>
          <w:trHeight w:val="315"/>
        </w:trPr>
        <w:tc>
          <w:tcPr>
            <w:tcW w:w="3120" w:type="dxa"/>
            <w:gridSpan w:val="2"/>
            <w:vMerge/>
            <w:tcBorders>
              <w:top w:val="single" w:sz="8" w:space="0" w:color="auto"/>
              <w:left w:val="single" w:sz="8" w:space="0" w:color="auto"/>
              <w:bottom w:val="single" w:sz="8" w:space="0" w:color="000000"/>
              <w:right w:val="single" w:sz="8" w:space="0" w:color="000000"/>
            </w:tcBorders>
            <w:vAlign w:val="center"/>
            <w:hideMark/>
          </w:tcPr>
          <w:p w:rsidR="008018EE" w:rsidRDefault="008018EE" w:rsidP="008018EE">
            <w:pPr>
              <w:rPr>
                <w:rFonts w:ascii="Arial" w:hAnsi="Arial" w:cs="Arial"/>
                <w:sz w:val="20"/>
                <w:szCs w:val="20"/>
              </w:rPr>
            </w:pPr>
          </w:p>
        </w:tc>
        <w:tc>
          <w:tcPr>
            <w:tcW w:w="1000" w:type="dxa"/>
            <w:tcBorders>
              <w:top w:val="nil"/>
              <w:left w:val="single" w:sz="8" w:space="0" w:color="auto"/>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PPU</w:t>
            </w:r>
          </w:p>
        </w:tc>
        <w:tc>
          <w:tcPr>
            <w:tcW w:w="1060"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YFLDH</w:t>
            </w:r>
          </w:p>
        </w:tc>
        <w:tc>
          <w:tcPr>
            <w:tcW w:w="1000"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YFLHS</w:t>
            </w:r>
          </w:p>
        </w:tc>
        <w:tc>
          <w:tcPr>
            <w:tcW w:w="1060"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YFLRM</w:t>
            </w:r>
          </w:p>
        </w:tc>
        <w:tc>
          <w:tcPr>
            <w:tcW w:w="980" w:type="dxa"/>
            <w:tcBorders>
              <w:top w:val="nil"/>
              <w:left w:val="nil"/>
              <w:bottom w:val="single" w:sz="4" w:space="0" w:color="auto"/>
              <w:right w:val="single" w:sz="4" w:space="0" w:color="000000"/>
            </w:tcBorders>
            <w:shd w:val="clear" w:color="auto" w:fill="auto"/>
            <w:vAlign w:val="bottom"/>
            <w:hideMark/>
          </w:tcPr>
          <w:p w:rsidR="008018EE" w:rsidRDefault="008018EE" w:rsidP="008018EE">
            <w:pPr>
              <w:jc w:val="center"/>
              <w:rPr>
                <w:rFonts w:ascii="Arial" w:hAnsi="Arial" w:cs="Arial"/>
                <w:color w:val="000000"/>
                <w:sz w:val="18"/>
                <w:szCs w:val="18"/>
              </w:rPr>
            </w:pPr>
            <w:r>
              <w:rPr>
                <w:rFonts w:ascii="Arial" w:hAnsi="Arial" w:cs="Arial"/>
                <w:color w:val="000000"/>
                <w:sz w:val="18"/>
                <w:szCs w:val="18"/>
              </w:rPr>
              <w:t>YFLTIP</w:t>
            </w:r>
          </w:p>
        </w:tc>
        <w:tc>
          <w:tcPr>
            <w:tcW w:w="880" w:type="dxa"/>
            <w:vMerge/>
            <w:tcBorders>
              <w:top w:val="single" w:sz="8" w:space="0" w:color="auto"/>
              <w:left w:val="single" w:sz="4" w:space="0" w:color="000000"/>
              <w:bottom w:val="single" w:sz="4" w:space="0" w:color="000000"/>
              <w:right w:val="single" w:sz="8" w:space="0" w:color="auto"/>
            </w:tcBorders>
            <w:vAlign w:val="center"/>
            <w:hideMark/>
          </w:tcPr>
          <w:p w:rsidR="008018EE" w:rsidRDefault="008018EE" w:rsidP="008018EE">
            <w:pPr>
              <w:rPr>
                <w:rFonts w:ascii="Arial" w:hAnsi="Arial" w:cs="Arial"/>
                <w:color w:val="000000"/>
                <w:sz w:val="18"/>
                <w:szCs w:val="18"/>
              </w:rPr>
            </w:pPr>
          </w:p>
        </w:tc>
      </w:tr>
      <w:tr w:rsidR="008018EE" w:rsidTr="008018EE">
        <w:trPr>
          <w:trHeight w:val="300"/>
        </w:trPr>
        <w:tc>
          <w:tcPr>
            <w:tcW w:w="2540" w:type="dxa"/>
            <w:vMerge w:val="restart"/>
            <w:tcBorders>
              <w:top w:val="single" w:sz="8" w:space="0" w:color="auto"/>
              <w:left w:val="single" w:sz="8" w:space="0" w:color="auto"/>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 xml:space="preserve">7: Jeg opplever at PPU eller Yrkesfaglærerutdanningen ved </w:t>
            </w:r>
            <w:r w:rsidR="000A528A">
              <w:rPr>
                <w:rFonts w:ascii="Arial" w:hAnsi="Arial" w:cs="Arial"/>
                <w:color w:val="000000"/>
                <w:sz w:val="18"/>
                <w:szCs w:val="18"/>
              </w:rPr>
              <w:t>HiOA</w:t>
            </w:r>
            <w:r>
              <w:rPr>
                <w:rFonts w:ascii="Arial" w:hAnsi="Arial" w:cs="Arial"/>
                <w:color w:val="000000"/>
                <w:sz w:val="18"/>
                <w:szCs w:val="18"/>
              </w:rPr>
              <w:t xml:space="preserve"> har forberedt meg godt i forhold til å organisere en meningsfull yrkesopplæring for elever med ulike yrkesinteresser.</w:t>
            </w:r>
          </w:p>
        </w:tc>
        <w:tc>
          <w:tcPr>
            <w:tcW w:w="580" w:type="dxa"/>
            <w:tcBorders>
              <w:top w:val="single" w:sz="8" w:space="0" w:color="auto"/>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1</w:t>
            </w:r>
          </w:p>
        </w:tc>
        <w:tc>
          <w:tcPr>
            <w:tcW w:w="1000"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6</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100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5</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98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88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4</w:t>
            </w:r>
          </w:p>
        </w:tc>
      </w:tr>
      <w:tr w:rsidR="008018EE" w:rsidTr="008018EE">
        <w:trPr>
          <w:trHeight w:val="300"/>
        </w:trPr>
        <w:tc>
          <w:tcPr>
            <w:tcW w:w="2540" w:type="dxa"/>
            <w:vMerge/>
            <w:tcBorders>
              <w:top w:val="single" w:sz="8" w:space="0" w:color="auto"/>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580"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2</w:t>
            </w:r>
          </w:p>
        </w:tc>
        <w:tc>
          <w:tcPr>
            <w:tcW w:w="1000"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11</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100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88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8</w:t>
            </w:r>
          </w:p>
        </w:tc>
      </w:tr>
      <w:tr w:rsidR="008018EE" w:rsidTr="008018EE">
        <w:trPr>
          <w:trHeight w:val="300"/>
        </w:trPr>
        <w:tc>
          <w:tcPr>
            <w:tcW w:w="2540" w:type="dxa"/>
            <w:vMerge/>
            <w:tcBorders>
              <w:top w:val="single" w:sz="8" w:space="0" w:color="auto"/>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580"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3</w:t>
            </w:r>
          </w:p>
        </w:tc>
        <w:tc>
          <w:tcPr>
            <w:tcW w:w="1000"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13</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13</w:t>
            </w:r>
          </w:p>
        </w:tc>
        <w:tc>
          <w:tcPr>
            <w:tcW w:w="100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0</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14</w:t>
            </w:r>
          </w:p>
        </w:tc>
        <w:tc>
          <w:tcPr>
            <w:tcW w:w="98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33</w:t>
            </w:r>
          </w:p>
        </w:tc>
        <w:tc>
          <w:tcPr>
            <w:tcW w:w="88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14</w:t>
            </w:r>
          </w:p>
        </w:tc>
      </w:tr>
      <w:tr w:rsidR="008018EE" w:rsidTr="008018EE">
        <w:trPr>
          <w:trHeight w:val="300"/>
        </w:trPr>
        <w:tc>
          <w:tcPr>
            <w:tcW w:w="2540" w:type="dxa"/>
            <w:vMerge/>
            <w:tcBorders>
              <w:top w:val="single" w:sz="8" w:space="0" w:color="auto"/>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580"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4</w:t>
            </w:r>
          </w:p>
        </w:tc>
        <w:tc>
          <w:tcPr>
            <w:tcW w:w="1000"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21</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100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33</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21</w:t>
            </w:r>
          </w:p>
        </w:tc>
        <w:tc>
          <w:tcPr>
            <w:tcW w:w="98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7</w:t>
            </w:r>
          </w:p>
        </w:tc>
        <w:tc>
          <w:tcPr>
            <w:tcW w:w="88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19</w:t>
            </w:r>
          </w:p>
        </w:tc>
      </w:tr>
      <w:tr w:rsidR="008018EE" w:rsidTr="008018EE">
        <w:trPr>
          <w:trHeight w:val="300"/>
        </w:trPr>
        <w:tc>
          <w:tcPr>
            <w:tcW w:w="2540" w:type="dxa"/>
            <w:vMerge/>
            <w:tcBorders>
              <w:top w:val="single" w:sz="8" w:space="0" w:color="auto"/>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580"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5</w:t>
            </w:r>
          </w:p>
        </w:tc>
        <w:tc>
          <w:tcPr>
            <w:tcW w:w="1000" w:type="dxa"/>
            <w:tcBorders>
              <w:top w:val="nil"/>
              <w:left w:val="single" w:sz="8" w:space="0" w:color="auto"/>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28</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53</w:t>
            </w:r>
          </w:p>
        </w:tc>
        <w:tc>
          <w:tcPr>
            <w:tcW w:w="100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29</w:t>
            </w:r>
          </w:p>
        </w:tc>
        <w:tc>
          <w:tcPr>
            <w:tcW w:w="106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36</w:t>
            </w:r>
          </w:p>
        </w:tc>
        <w:tc>
          <w:tcPr>
            <w:tcW w:w="980" w:type="dxa"/>
            <w:tcBorders>
              <w:top w:val="nil"/>
              <w:left w:val="nil"/>
              <w:bottom w:val="nil"/>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27</w:t>
            </w:r>
          </w:p>
        </w:tc>
        <w:tc>
          <w:tcPr>
            <w:tcW w:w="880" w:type="dxa"/>
            <w:tcBorders>
              <w:top w:val="nil"/>
              <w:left w:val="nil"/>
              <w:bottom w:val="nil"/>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32</w:t>
            </w:r>
          </w:p>
        </w:tc>
      </w:tr>
      <w:tr w:rsidR="008018EE" w:rsidTr="008018EE">
        <w:trPr>
          <w:trHeight w:val="300"/>
        </w:trPr>
        <w:tc>
          <w:tcPr>
            <w:tcW w:w="2540" w:type="dxa"/>
            <w:vMerge/>
            <w:tcBorders>
              <w:top w:val="single" w:sz="8" w:space="0" w:color="auto"/>
              <w:left w:val="single" w:sz="8" w:space="0" w:color="auto"/>
              <w:bottom w:val="nil"/>
              <w:right w:val="nil"/>
            </w:tcBorders>
            <w:vAlign w:val="center"/>
            <w:hideMark/>
          </w:tcPr>
          <w:p w:rsidR="008018EE" w:rsidRDefault="008018EE" w:rsidP="008018EE">
            <w:pPr>
              <w:rPr>
                <w:rFonts w:ascii="Arial" w:hAnsi="Arial" w:cs="Arial"/>
                <w:color w:val="000000"/>
                <w:sz w:val="18"/>
                <w:szCs w:val="18"/>
              </w:rPr>
            </w:pPr>
          </w:p>
        </w:tc>
        <w:tc>
          <w:tcPr>
            <w:tcW w:w="580" w:type="dxa"/>
            <w:tcBorders>
              <w:top w:val="nil"/>
              <w:left w:val="nil"/>
              <w:bottom w:val="nil"/>
              <w:right w:val="nil"/>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6</w:t>
            </w:r>
          </w:p>
        </w:tc>
        <w:tc>
          <w:tcPr>
            <w:tcW w:w="1000" w:type="dxa"/>
            <w:tcBorders>
              <w:top w:val="nil"/>
              <w:left w:val="single" w:sz="8" w:space="0" w:color="auto"/>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20</w:t>
            </w:r>
          </w:p>
        </w:tc>
        <w:tc>
          <w:tcPr>
            <w:tcW w:w="100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21</w:t>
            </w:r>
          </w:p>
        </w:tc>
        <w:tc>
          <w:tcPr>
            <w:tcW w:w="98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27</w:t>
            </w:r>
          </w:p>
        </w:tc>
        <w:tc>
          <w:tcPr>
            <w:tcW w:w="880" w:type="dxa"/>
            <w:tcBorders>
              <w:top w:val="nil"/>
              <w:left w:val="nil"/>
              <w:bottom w:val="single" w:sz="4" w:space="0" w:color="auto"/>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22</w:t>
            </w:r>
          </w:p>
        </w:tc>
      </w:tr>
      <w:tr w:rsidR="008018EE" w:rsidTr="008018EE">
        <w:trPr>
          <w:trHeight w:val="300"/>
        </w:trPr>
        <w:tc>
          <w:tcPr>
            <w:tcW w:w="3120" w:type="dxa"/>
            <w:gridSpan w:val="2"/>
            <w:tcBorders>
              <w:top w:val="single" w:sz="4" w:space="0" w:color="auto"/>
              <w:left w:val="single" w:sz="8" w:space="0" w:color="auto"/>
              <w:bottom w:val="single" w:sz="4" w:space="0" w:color="auto"/>
              <w:right w:val="single" w:sz="8" w:space="0" w:color="000000"/>
            </w:tcBorders>
            <w:shd w:val="clear" w:color="auto" w:fill="auto"/>
            <w:hideMark/>
          </w:tcPr>
          <w:p w:rsidR="008018EE" w:rsidRDefault="008018EE" w:rsidP="008018EE">
            <w:pPr>
              <w:rPr>
                <w:rFonts w:ascii="Arial" w:hAnsi="Arial" w:cs="Arial"/>
                <w:color w:val="000000"/>
                <w:sz w:val="18"/>
                <w:szCs w:val="18"/>
              </w:rPr>
            </w:pPr>
            <w:r>
              <w:rPr>
                <w:rFonts w:ascii="Arial" w:hAnsi="Arial" w:cs="Arial"/>
                <w:color w:val="000000"/>
                <w:sz w:val="18"/>
                <w:szCs w:val="18"/>
              </w:rPr>
              <w:t>Total %</w:t>
            </w:r>
          </w:p>
        </w:tc>
        <w:tc>
          <w:tcPr>
            <w:tcW w:w="1000" w:type="dxa"/>
            <w:tcBorders>
              <w:top w:val="nil"/>
              <w:left w:val="single" w:sz="8" w:space="0" w:color="auto"/>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106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100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106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980" w:type="dxa"/>
            <w:tcBorders>
              <w:top w:val="nil"/>
              <w:left w:val="nil"/>
              <w:bottom w:val="single" w:sz="4" w:space="0" w:color="auto"/>
              <w:right w:val="single" w:sz="4"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c>
          <w:tcPr>
            <w:tcW w:w="880" w:type="dxa"/>
            <w:tcBorders>
              <w:top w:val="nil"/>
              <w:left w:val="nil"/>
              <w:bottom w:val="single" w:sz="4" w:space="0" w:color="auto"/>
              <w:right w:val="single" w:sz="8" w:space="0" w:color="auto"/>
            </w:tcBorders>
            <w:shd w:val="clear" w:color="auto" w:fill="auto"/>
            <w:noWrap/>
            <w:hideMark/>
          </w:tcPr>
          <w:p w:rsidR="008018EE" w:rsidRDefault="008018EE" w:rsidP="008018EE">
            <w:pPr>
              <w:jc w:val="right"/>
              <w:rPr>
                <w:rFonts w:ascii="Arial" w:hAnsi="Arial" w:cs="Arial"/>
                <w:color w:val="000000"/>
                <w:sz w:val="18"/>
                <w:szCs w:val="18"/>
              </w:rPr>
            </w:pPr>
            <w:r>
              <w:rPr>
                <w:rFonts w:ascii="Arial" w:hAnsi="Arial" w:cs="Arial"/>
                <w:color w:val="000000"/>
                <w:sz w:val="18"/>
                <w:szCs w:val="18"/>
              </w:rPr>
              <w:t>100</w:t>
            </w:r>
          </w:p>
        </w:tc>
      </w:tr>
      <w:tr w:rsidR="008018EE" w:rsidTr="008018EE">
        <w:trPr>
          <w:trHeight w:val="315"/>
        </w:trPr>
        <w:tc>
          <w:tcPr>
            <w:tcW w:w="2540" w:type="dxa"/>
            <w:tcBorders>
              <w:top w:val="nil"/>
              <w:left w:val="single" w:sz="8" w:space="0" w:color="auto"/>
              <w:bottom w:val="single" w:sz="8" w:space="0" w:color="auto"/>
              <w:right w:val="nil"/>
            </w:tcBorders>
            <w:shd w:val="clear" w:color="auto" w:fill="auto"/>
            <w:noWrap/>
            <w:vAlign w:val="bottom"/>
            <w:hideMark/>
          </w:tcPr>
          <w:p w:rsidR="008018EE" w:rsidRPr="004C4366" w:rsidRDefault="008018EE" w:rsidP="008018EE">
            <w:pPr>
              <w:rPr>
                <w:rFonts w:ascii="Calibri" w:hAnsi="Calibri" w:cs="Calibri"/>
                <w:b/>
                <w:color w:val="000000"/>
                <w:sz w:val="22"/>
                <w:szCs w:val="22"/>
              </w:rPr>
            </w:pPr>
            <w:r>
              <w:rPr>
                <w:rFonts w:ascii="Calibri" w:hAnsi="Calibri" w:cs="Calibri"/>
                <w:b/>
                <w:color w:val="000000"/>
                <w:sz w:val="22"/>
                <w:szCs w:val="22"/>
              </w:rPr>
              <w:t>Gjennomsnitt</w:t>
            </w:r>
          </w:p>
        </w:tc>
        <w:tc>
          <w:tcPr>
            <w:tcW w:w="580" w:type="dxa"/>
            <w:tcBorders>
              <w:top w:val="nil"/>
              <w:left w:val="nil"/>
              <w:bottom w:val="single" w:sz="8" w:space="0" w:color="auto"/>
              <w:right w:val="nil"/>
            </w:tcBorders>
            <w:shd w:val="clear" w:color="auto" w:fill="auto"/>
            <w:noWrap/>
            <w:vAlign w:val="bottom"/>
            <w:hideMark/>
          </w:tcPr>
          <w:p w:rsidR="008018EE" w:rsidRPr="004C4366" w:rsidRDefault="008018EE" w:rsidP="008018EE">
            <w:pPr>
              <w:rPr>
                <w:rFonts w:ascii="Calibri" w:hAnsi="Calibri" w:cs="Calibri"/>
                <w:b/>
                <w:color w:val="000000"/>
                <w:sz w:val="22"/>
                <w:szCs w:val="22"/>
              </w:rPr>
            </w:pPr>
            <w:r w:rsidRPr="004C4366">
              <w:rPr>
                <w:rFonts w:ascii="Calibri" w:hAnsi="Calibri" w:cs="Calibri"/>
                <w:b/>
                <w:color w:val="000000"/>
                <w:sz w:val="22"/>
                <w:szCs w:val="22"/>
              </w:rPr>
              <w:t> </w:t>
            </w: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rsidR="008018EE" w:rsidRPr="004C4366" w:rsidRDefault="008018EE" w:rsidP="008018EE">
            <w:pPr>
              <w:jc w:val="right"/>
              <w:rPr>
                <w:rFonts w:ascii="Arial" w:hAnsi="Arial" w:cs="Arial"/>
                <w:b/>
                <w:color w:val="000000"/>
                <w:sz w:val="18"/>
                <w:szCs w:val="18"/>
              </w:rPr>
            </w:pPr>
            <w:r w:rsidRPr="004C4366">
              <w:rPr>
                <w:rFonts w:ascii="Arial" w:hAnsi="Arial" w:cs="Arial"/>
                <w:b/>
                <w:color w:val="000000"/>
                <w:sz w:val="18"/>
                <w:szCs w:val="18"/>
              </w:rPr>
              <w:t>3,94</w:t>
            </w:r>
          </w:p>
        </w:tc>
        <w:tc>
          <w:tcPr>
            <w:tcW w:w="1060" w:type="dxa"/>
            <w:tcBorders>
              <w:top w:val="nil"/>
              <w:left w:val="nil"/>
              <w:bottom w:val="single" w:sz="8" w:space="0" w:color="auto"/>
              <w:right w:val="single" w:sz="4" w:space="0" w:color="auto"/>
            </w:tcBorders>
            <w:shd w:val="clear" w:color="auto" w:fill="auto"/>
            <w:noWrap/>
            <w:vAlign w:val="bottom"/>
            <w:hideMark/>
          </w:tcPr>
          <w:p w:rsidR="008018EE" w:rsidRPr="004C4366" w:rsidRDefault="008018EE" w:rsidP="008018EE">
            <w:pPr>
              <w:jc w:val="right"/>
              <w:rPr>
                <w:rFonts w:ascii="Arial" w:hAnsi="Arial" w:cs="Arial"/>
                <w:b/>
                <w:color w:val="000000"/>
                <w:sz w:val="18"/>
                <w:szCs w:val="18"/>
              </w:rPr>
            </w:pPr>
            <w:r w:rsidRPr="004C4366">
              <w:rPr>
                <w:rFonts w:ascii="Arial" w:hAnsi="Arial" w:cs="Arial"/>
                <w:b/>
                <w:color w:val="000000"/>
                <w:sz w:val="18"/>
                <w:szCs w:val="18"/>
              </w:rPr>
              <w:t>4,53</w:t>
            </w:r>
          </w:p>
        </w:tc>
        <w:tc>
          <w:tcPr>
            <w:tcW w:w="1000" w:type="dxa"/>
            <w:tcBorders>
              <w:top w:val="nil"/>
              <w:left w:val="nil"/>
              <w:bottom w:val="single" w:sz="8" w:space="0" w:color="auto"/>
              <w:right w:val="single" w:sz="4" w:space="0" w:color="auto"/>
            </w:tcBorders>
            <w:shd w:val="clear" w:color="auto" w:fill="auto"/>
            <w:noWrap/>
            <w:vAlign w:val="bottom"/>
            <w:hideMark/>
          </w:tcPr>
          <w:p w:rsidR="008018EE" w:rsidRPr="004C4366" w:rsidRDefault="008018EE" w:rsidP="008018EE">
            <w:pPr>
              <w:jc w:val="right"/>
              <w:rPr>
                <w:rFonts w:ascii="Arial" w:hAnsi="Arial" w:cs="Arial"/>
                <w:b/>
                <w:color w:val="000000"/>
                <w:sz w:val="18"/>
                <w:szCs w:val="18"/>
              </w:rPr>
            </w:pPr>
            <w:r w:rsidRPr="004C4366">
              <w:rPr>
                <w:rFonts w:ascii="Arial" w:hAnsi="Arial" w:cs="Arial"/>
                <w:b/>
                <w:color w:val="000000"/>
                <w:sz w:val="18"/>
                <w:szCs w:val="18"/>
              </w:rPr>
              <w:t>4,24</w:t>
            </w:r>
          </w:p>
        </w:tc>
        <w:tc>
          <w:tcPr>
            <w:tcW w:w="1060" w:type="dxa"/>
            <w:tcBorders>
              <w:top w:val="nil"/>
              <w:left w:val="nil"/>
              <w:bottom w:val="single" w:sz="8" w:space="0" w:color="auto"/>
              <w:right w:val="single" w:sz="4" w:space="0" w:color="auto"/>
            </w:tcBorders>
            <w:shd w:val="clear" w:color="auto" w:fill="auto"/>
            <w:noWrap/>
            <w:vAlign w:val="bottom"/>
            <w:hideMark/>
          </w:tcPr>
          <w:p w:rsidR="008018EE" w:rsidRPr="004C4366" w:rsidRDefault="008018EE" w:rsidP="008018EE">
            <w:pPr>
              <w:jc w:val="right"/>
              <w:rPr>
                <w:rFonts w:ascii="Arial" w:hAnsi="Arial" w:cs="Arial"/>
                <w:b/>
                <w:color w:val="000000"/>
                <w:sz w:val="18"/>
                <w:szCs w:val="18"/>
              </w:rPr>
            </w:pPr>
            <w:r w:rsidRPr="004C4366">
              <w:rPr>
                <w:rFonts w:ascii="Arial" w:hAnsi="Arial" w:cs="Arial"/>
                <w:b/>
                <w:color w:val="000000"/>
                <w:sz w:val="18"/>
                <w:szCs w:val="18"/>
              </w:rPr>
              <w:t>4,43</w:t>
            </w:r>
          </w:p>
        </w:tc>
        <w:tc>
          <w:tcPr>
            <w:tcW w:w="980" w:type="dxa"/>
            <w:tcBorders>
              <w:top w:val="nil"/>
              <w:left w:val="nil"/>
              <w:bottom w:val="single" w:sz="8" w:space="0" w:color="auto"/>
              <w:right w:val="single" w:sz="4" w:space="0" w:color="auto"/>
            </w:tcBorders>
            <w:shd w:val="clear" w:color="auto" w:fill="auto"/>
            <w:noWrap/>
            <w:vAlign w:val="bottom"/>
            <w:hideMark/>
          </w:tcPr>
          <w:p w:rsidR="008018EE" w:rsidRPr="004C4366" w:rsidRDefault="008018EE" w:rsidP="008018EE">
            <w:pPr>
              <w:jc w:val="right"/>
              <w:rPr>
                <w:rFonts w:ascii="Arial" w:hAnsi="Arial" w:cs="Arial"/>
                <w:b/>
                <w:color w:val="000000"/>
                <w:sz w:val="18"/>
                <w:szCs w:val="18"/>
              </w:rPr>
            </w:pPr>
            <w:r w:rsidRPr="004C4366">
              <w:rPr>
                <w:rFonts w:ascii="Arial" w:hAnsi="Arial" w:cs="Arial"/>
                <w:b/>
                <w:color w:val="000000"/>
                <w:sz w:val="18"/>
                <w:szCs w:val="18"/>
              </w:rPr>
              <w:t>4,20</w:t>
            </w:r>
          </w:p>
        </w:tc>
        <w:tc>
          <w:tcPr>
            <w:tcW w:w="880" w:type="dxa"/>
            <w:tcBorders>
              <w:top w:val="nil"/>
              <w:left w:val="nil"/>
              <w:bottom w:val="single" w:sz="8" w:space="0" w:color="auto"/>
              <w:right w:val="single" w:sz="8" w:space="0" w:color="auto"/>
            </w:tcBorders>
            <w:shd w:val="clear" w:color="auto" w:fill="auto"/>
            <w:noWrap/>
            <w:vAlign w:val="bottom"/>
            <w:hideMark/>
          </w:tcPr>
          <w:p w:rsidR="008018EE" w:rsidRPr="004C4366" w:rsidRDefault="008018EE" w:rsidP="008018EE">
            <w:pPr>
              <w:jc w:val="right"/>
              <w:rPr>
                <w:rFonts w:ascii="Arial" w:hAnsi="Arial" w:cs="Arial"/>
                <w:b/>
                <w:color w:val="000000"/>
                <w:sz w:val="18"/>
                <w:szCs w:val="18"/>
              </w:rPr>
            </w:pPr>
            <w:r w:rsidRPr="004C4366">
              <w:rPr>
                <w:rFonts w:ascii="Arial" w:hAnsi="Arial" w:cs="Arial"/>
                <w:b/>
                <w:color w:val="000000"/>
                <w:sz w:val="18"/>
                <w:szCs w:val="18"/>
              </w:rPr>
              <w:t>4,33</w:t>
            </w:r>
          </w:p>
        </w:tc>
      </w:tr>
    </w:tbl>
    <w:p w:rsidR="008018EE" w:rsidRDefault="00E2271A" w:rsidP="008018EE">
      <w:pPr>
        <w:autoSpaceDE w:val="0"/>
        <w:autoSpaceDN w:val="0"/>
        <w:adjustRightInd w:val="0"/>
        <w:spacing w:line="276" w:lineRule="auto"/>
      </w:pPr>
      <w:r>
        <w:t>Tabell 4.</w:t>
      </w:r>
      <w:r>
        <w:tab/>
        <w:t>Fordeling i %. Gjennomsnitt i fet skrift.</w:t>
      </w:r>
    </w:p>
    <w:p w:rsidR="008018EE" w:rsidRDefault="008018EE" w:rsidP="008018EE">
      <w:pPr>
        <w:autoSpaceDE w:val="0"/>
        <w:autoSpaceDN w:val="0"/>
        <w:adjustRightInd w:val="0"/>
        <w:spacing w:line="276" w:lineRule="auto"/>
      </w:pPr>
    </w:p>
    <w:p w:rsidR="008018EE" w:rsidRDefault="008018EE" w:rsidP="008018EE">
      <w:pPr>
        <w:autoSpaceDE w:val="0"/>
        <w:autoSpaceDN w:val="0"/>
        <w:adjustRightInd w:val="0"/>
        <w:spacing w:line="276" w:lineRule="auto"/>
      </w:pPr>
      <w:r>
        <w:t xml:space="preserve">Oppsummert så viser fordelingen i krysstabellene og gjennomsnittsskåren at det generelt oppleves en høy mestringsforventning og at utdanningen har forberedt studentene godt. </w:t>
      </w:r>
      <w:r w:rsidR="005C6884">
        <w:t>Fordelingen av svarskårer og g</w:t>
      </w:r>
      <w:r>
        <w:t>jennomsnittsskåren for de enkelte utdanningene varierer likevel en del</w:t>
      </w:r>
      <w:r w:rsidR="005C6884">
        <w:t xml:space="preserve"> noe som vil bli kommentert senere. </w:t>
      </w:r>
    </w:p>
    <w:p w:rsidR="000A528A" w:rsidRDefault="000A528A" w:rsidP="008018EE">
      <w:pPr>
        <w:autoSpaceDE w:val="0"/>
        <w:autoSpaceDN w:val="0"/>
        <w:adjustRightInd w:val="0"/>
        <w:spacing w:line="276" w:lineRule="auto"/>
      </w:pPr>
    </w:p>
    <w:p w:rsidR="008018EE" w:rsidRPr="003238F4" w:rsidRDefault="008018EE" w:rsidP="00DE465B">
      <w:pPr>
        <w:pStyle w:val="Undertittel"/>
        <w:numPr>
          <w:ilvl w:val="0"/>
          <w:numId w:val="4"/>
        </w:numPr>
        <w:rPr>
          <w:rStyle w:val="Sterkutheving"/>
          <w:i/>
          <w:sz w:val="28"/>
          <w:szCs w:val="28"/>
        </w:rPr>
      </w:pPr>
      <w:r w:rsidRPr="003238F4">
        <w:rPr>
          <w:rStyle w:val="Sterkutheving"/>
          <w:i/>
          <w:sz w:val="28"/>
          <w:szCs w:val="28"/>
        </w:rPr>
        <w:t>Kjikvadrattest</w:t>
      </w:r>
    </w:p>
    <w:p w:rsidR="008018EE" w:rsidRDefault="008018EE" w:rsidP="008018EE">
      <w:pPr>
        <w:autoSpaceDE w:val="0"/>
        <w:autoSpaceDN w:val="0"/>
        <w:adjustRightInd w:val="0"/>
        <w:spacing w:line="276" w:lineRule="auto"/>
      </w:pPr>
      <w:r>
        <w:t xml:space="preserve">Forrige avsnitt viste at studenten har relativt høy grad av mestringsforventning og at de samtidig opplever at utdanningen har forberedt dem til å organisere en meningsfull opplæring for elever med ulike yrkesinteresser. </w:t>
      </w:r>
    </w:p>
    <w:p w:rsidR="008018EE" w:rsidRDefault="008018EE" w:rsidP="008018EE">
      <w:pPr>
        <w:autoSpaceDE w:val="0"/>
        <w:autoSpaceDN w:val="0"/>
        <w:adjustRightInd w:val="0"/>
        <w:spacing w:line="276" w:lineRule="auto"/>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31"/>
      </w:tblGrid>
      <w:tr w:rsidR="00E2271A" w:rsidRPr="003A4444" w:rsidTr="00E2271A">
        <w:trPr>
          <w:cantSplit/>
          <w:tblHeader/>
        </w:trPr>
        <w:tc>
          <w:tcPr>
            <w:tcW w:w="8931" w:type="dxa"/>
            <w:tcBorders>
              <w:top w:val="nil"/>
              <w:left w:val="nil"/>
              <w:bottom w:val="nil"/>
              <w:right w:val="nil"/>
            </w:tcBorders>
            <w:shd w:val="clear" w:color="auto" w:fill="FFFFFF"/>
            <w:vAlign w:val="center"/>
          </w:tcPr>
          <w:p w:rsidR="00E2271A" w:rsidRPr="00E2271A" w:rsidRDefault="00E2271A" w:rsidP="00E2271A">
            <w:pPr>
              <w:autoSpaceDE w:val="0"/>
              <w:autoSpaceDN w:val="0"/>
              <w:adjustRightInd w:val="0"/>
              <w:spacing w:line="276" w:lineRule="auto"/>
              <w:ind w:left="60" w:right="60"/>
              <w:rPr>
                <w:u w:val="single"/>
              </w:rPr>
            </w:pPr>
            <w:r>
              <w:rPr>
                <w:u w:val="single"/>
              </w:rPr>
              <w:t>Khikvadrattest mellom ulike yrkesfaglærerutdanninger</w:t>
            </w:r>
            <w:r w:rsidRPr="003A4444">
              <w:rPr>
                <w:u w:val="single"/>
              </w:rPr>
              <w:t xml:space="preserve"> og </w:t>
            </w:r>
            <w:r>
              <w:rPr>
                <w:u w:val="single"/>
              </w:rPr>
              <w:t xml:space="preserve">studentenes mestringsforventning i forhold til å kunne </w:t>
            </w:r>
            <w:r w:rsidRPr="00E2271A">
              <w:rPr>
                <w:u w:val="single"/>
              </w:rPr>
              <w:t>organisere en meningsfull yrkesopplæring for elever med ulike yrkesinteresser</w:t>
            </w:r>
            <w:r w:rsidR="00DE465B">
              <w:rPr>
                <w:u w:val="single"/>
              </w:rPr>
              <w:t xml:space="preserve"> (item 3 og 6)</w:t>
            </w:r>
            <w:r w:rsidRPr="00E2271A">
              <w:rPr>
                <w:u w:val="single"/>
              </w:rPr>
              <w:t>.</w:t>
            </w:r>
          </w:p>
        </w:tc>
      </w:tr>
    </w:tbl>
    <w:p w:rsidR="00036278" w:rsidRPr="00DB697F" w:rsidRDefault="005C6884" w:rsidP="00036278">
      <w:pPr>
        <w:autoSpaceDE w:val="0"/>
        <w:autoSpaceDN w:val="0"/>
        <w:adjustRightInd w:val="0"/>
        <w:spacing w:line="276" w:lineRule="auto"/>
      </w:pPr>
      <w:r>
        <w:t xml:space="preserve">Spørsmålet videre er om det er noen signifikant sammenheng mellom </w:t>
      </w:r>
      <w:r w:rsidR="00036278">
        <w:t>hvilke utdanning studentene har gjennomført og deres mestringsforventning i forhold til å kunne organisere en meningsfull yrkesopplæring for elever med ulike yrkesinteresser.</w:t>
      </w:r>
      <w:r w:rsidR="00036278" w:rsidRPr="00036278">
        <w:t xml:space="preserve"> </w:t>
      </w:r>
      <w:r w:rsidR="00036278">
        <w:t xml:space="preserve">Til dette formålet er kjikvadrattesten egnet siden avkryssingsmulighetene i item 3 (studiested) er på nominalnivå </w:t>
      </w:r>
      <w:r w:rsidR="00036278">
        <w:fldChar w:fldCharType="begin"/>
      </w:r>
      <w:r w:rsidR="00036278">
        <w:instrText xml:space="preserve"> ADDIN EN.CITE &lt;EndNote&gt;&lt;Cite&gt;&lt;Author&gt;Johannessen&lt;/Author&gt;&lt;Year&gt;2007&lt;/Year&gt;&lt;RecNum&gt;296&lt;/RecNum&gt;&lt;DisplayText&gt;(Johannessen, 2007)&lt;/DisplayText&gt;&lt;record&gt;&lt;rec-number&gt;296&lt;/rec-number&gt;&lt;foreign-keys&gt;&lt;key app="EN" db-id="rf0wv9rrjf9xsmefvzh5dday5zxttff0tws2"&gt;296&lt;/key&gt;&lt;/foreign-keys&gt;&lt;ref-type name="Book"&gt;6&lt;/ref-type&gt;&lt;contributors&gt;&lt;authors&gt;&lt;author&gt;Johannessen, Asbjørn&lt;/author&gt;&lt;/authors&gt;&lt;/contributors&gt;&lt;titles&gt;&lt;title&gt;Introduksjon til SPSS: versjon 14, 15 og 16&lt;/title&gt;&lt;/titles&gt;&lt;pages&gt;175 s.&lt;/pages&gt;&lt;keywords&gt;&lt;keyword&gt;Research&lt;/keyword&gt;&lt;keyword&gt;Statistics as Topic&lt;/keyword&gt;&lt;keyword&gt;Regression Analysis&lt;/keyword&gt;&lt;keyword&gt;Software&lt;/keyword&gt;&lt;keyword&gt;EDB&lt;/keyword&gt;&lt;keyword&gt;Statistikk&lt;/keyword&gt;&lt;keyword&gt;Samfunnsvitenskap - metoder&lt;/keyword&gt;&lt;keyword&gt;Matematikk/Statistikk&lt;/keyword&gt;&lt;keyword&gt;statistisk&lt;/keyword&gt;&lt;keyword&gt;metode&lt;/keyword&gt;&lt;keyword&gt;dataanalyse&lt;/keyword&gt;&lt;keyword&gt;samfunnsvitenskapmetodar&lt;/keyword&gt;&lt;keyword&gt;spss&lt;/keyword&gt;&lt;keyword&gt;regresjonsanalyse&lt;/keyword&gt;&lt;keyword&gt;samfunnsvitenskap&lt;/keyword&gt;&lt;keyword&gt;metodersoftware&lt;/keyword&gt;&lt;keyword&gt;dataprogrammer&lt;/keyword&gt;&lt;keyword&gt;statistikkprogram&lt;/keyword&gt;&lt;keyword&gt;statistikkprogrammer&lt;/keyword&gt;&lt;keyword&gt;metodar&lt;/keyword&gt;&lt;/keywords&gt;&lt;dates&gt;&lt;year&gt;2007&lt;/year&gt;&lt;/dates&gt;&lt;pub-location&gt;Oslo&lt;/pub-location&gt;&lt;publisher&gt;Abstrakt forl.&lt;/publisher&gt;&lt;isbn&gt;978-82-7935-223-5&lt;/isbn&gt;&lt;urls&gt;&lt;/urls&gt;&lt;/record&gt;&lt;/Cite&gt;&lt;/EndNote&gt;</w:instrText>
      </w:r>
      <w:r w:rsidR="00036278">
        <w:fldChar w:fldCharType="separate"/>
      </w:r>
      <w:r w:rsidR="00036278">
        <w:rPr>
          <w:noProof/>
        </w:rPr>
        <w:t>(</w:t>
      </w:r>
      <w:hyperlink w:anchor="_ENREF_6" w:tooltip="Johannessen, 2007 #296" w:history="1">
        <w:r w:rsidR="00036278">
          <w:rPr>
            <w:noProof/>
          </w:rPr>
          <w:t>Johannessen, 2007</w:t>
        </w:r>
      </w:hyperlink>
      <w:r w:rsidR="00036278">
        <w:rPr>
          <w:noProof/>
        </w:rPr>
        <w:t>)</w:t>
      </w:r>
      <w:r w:rsidR="00036278">
        <w:fldChar w:fldCharType="end"/>
      </w:r>
      <w:r w:rsidR="00036278">
        <w:t xml:space="preserve">. </w:t>
      </w:r>
    </w:p>
    <w:p w:rsidR="005C6884" w:rsidRDefault="005C6884" w:rsidP="008018EE">
      <w:pPr>
        <w:autoSpaceDE w:val="0"/>
        <w:autoSpaceDN w:val="0"/>
        <w:adjustRightInd w:val="0"/>
        <w:spacing w:line="276" w:lineRule="auto"/>
      </w:pPr>
    </w:p>
    <w:p w:rsidR="005C6884" w:rsidRDefault="00036278" w:rsidP="008018EE">
      <w:pPr>
        <w:autoSpaceDE w:val="0"/>
        <w:autoSpaceDN w:val="0"/>
        <w:adjustRightInd w:val="0"/>
        <w:spacing w:line="276" w:lineRule="auto"/>
      </w:pPr>
      <w:r>
        <w:t>Formålet med en kjikvadrattest er å fastslå om en 0-hypotese (</w:t>
      </w:r>
      <w:r w:rsidR="008018EE">
        <w:t>at det ikke er en sammenheng mellom utdanningen studentene har gjennomført, og deres opplevde mestringsforventning</w:t>
      </w:r>
      <w:r>
        <w:t>) kan avkreftes</w:t>
      </w:r>
      <w:r w:rsidR="008018EE">
        <w:t xml:space="preserve">. </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1560"/>
        <w:gridCol w:w="1559"/>
        <w:gridCol w:w="2977"/>
      </w:tblGrid>
      <w:tr w:rsidR="008018EE" w:rsidRPr="00DB697F" w:rsidTr="008018EE">
        <w:trPr>
          <w:cantSplit/>
          <w:tblHeader/>
        </w:trPr>
        <w:tc>
          <w:tcPr>
            <w:tcW w:w="8931" w:type="dxa"/>
            <w:gridSpan w:val="4"/>
            <w:tcBorders>
              <w:top w:val="nil"/>
              <w:left w:val="nil"/>
              <w:bottom w:val="nil"/>
              <w:right w:val="nil"/>
            </w:tcBorders>
            <w:shd w:val="clear" w:color="auto" w:fill="FFFFFF"/>
            <w:vAlign w:val="center"/>
          </w:tcPr>
          <w:p w:rsidR="008018EE" w:rsidRPr="00DB697F" w:rsidRDefault="008018EE" w:rsidP="00036278">
            <w:pPr>
              <w:autoSpaceDE w:val="0"/>
              <w:autoSpaceDN w:val="0"/>
              <w:adjustRightInd w:val="0"/>
              <w:spacing w:line="276" w:lineRule="auto"/>
              <w:ind w:right="60"/>
              <w:rPr>
                <w:rFonts w:ascii="Arial" w:hAnsi="Arial" w:cs="Arial"/>
                <w:color w:val="000000"/>
                <w:sz w:val="18"/>
                <w:szCs w:val="18"/>
              </w:rPr>
            </w:pPr>
          </w:p>
        </w:tc>
      </w:tr>
      <w:tr w:rsidR="008018EE" w:rsidRPr="00DB697F" w:rsidTr="008018EE">
        <w:trPr>
          <w:cantSplit/>
          <w:tblHeader/>
        </w:trPr>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018EE" w:rsidRPr="00DB697F" w:rsidRDefault="008018EE" w:rsidP="008018EE">
            <w:pPr>
              <w:autoSpaceDE w:val="0"/>
              <w:autoSpaceDN w:val="0"/>
              <w:adjustRightInd w:val="0"/>
              <w:spacing w:line="276" w:lineRule="auto"/>
              <w:jc w:val="center"/>
            </w:pPr>
          </w:p>
        </w:tc>
        <w:tc>
          <w:tcPr>
            <w:tcW w:w="1560" w:type="dxa"/>
            <w:tcBorders>
              <w:top w:val="single" w:sz="16" w:space="0" w:color="000000"/>
              <w:left w:val="single" w:sz="16" w:space="0" w:color="000000"/>
              <w:bottom w:val="single" w:sz="16" w:space="0" w:color="000000"/>
            </w:tcBorders>
            <w:shd w:val="clear" w:color="auto" w:fill="FFFFFF"/>
            <w:vAlign w:val="bottom"/>
          </w:tcPr>
          <w:p w:rsidR="008018EE" w:rsidRPr="00DB697F" w:rsidRDefault="008018EE" w:rsidP="008018EE">
            <w:pPr>
              <w:autoSpaceDE w:val="0"/>
              <w:autoSpaceDN w:val="0"/>
              <w:adjustRightInd w:val="0"/>
              <w:spacing w:line="276" w:lineRule="auto"/>
              <w:ind w:left="60" w:right="60"/>
              <w:jc w:val="center"/>
              <w:rPr>
                <w:rFonts w:ascii="Arial" w:hAnsi="Arial" w:cs="Arial"/>
                <w:color w:val="000000"/>
                <w:sz w:val="18"/>
                <w:szCs w:val="18"/>
              </w:rPr>
            </w:pPr>
            <w:r w:rsidRPr="00DB697F">
              <w:rPr>
                <w:rFonts w:ascii="Arial" w:hAnsi="Arial" w:cs="Arial"/>
                <w:color w:val="000000"/>
                <w:sz w:val="18"/>
                <w:szCs w:val="18"/>
              </w:rPr>
              <w:t>Value</w:t>
            </w:r>
          </w:p>
        </w:tc>
        <w:tc>
          <w:tcPr>
            <w:tcW w:w="1559" w:type="dxa"/>
            <w:tcBorders>
              <w:top w:val="single" w:sz="16" w:space="0" w:color="000000"/>
              <w:bottom w:val="single" w:sz="16" w:space="0" w:color="000000"/>
            </w:tcBorders>
            <w:shd w:val="clear" w:color="auto" w:fill="FFFFFF"/>
            <w:vAlign w:val="bottom"/>
          </w:tcPr>
          <w:p w:rsidR="008018EE" w:rsidRPr="00DB697F" w:rsidRDefault="008018EE" w:rsidP="008018EE">
            <w:pPr>
              <w:autoSpaceDE w:val="0"/>
              <w:autoSpaceDN w:val="0"/>
              <w:adjustRightInd w:val="0"/>
              <w:spacing w:line="276" w:lineRule="auto"/>
              <w:ind w:left="60" w:right="60"/>
              <w:jc w:val="center"/>
              <w:rPr>
                <w:rFonts w:ascii="Arial" w:hAnsi="Arial" w:cs="Arial"/>
                <w:color w:val="000000"/>
                <w:sz w:val="18"/>
                <w:szCs w:val="18"/>
              </w:rPr>
            </w:pPr>
            <w:r w:rsidRPr="00DB697F">
              <w:rPr>
                <w:rFonts w:ascii="Arial" w:hAnsi="Arial" w:cs="Arial"/>
                <w:color w:val="000000"/>
                <w:sz w:val="18"/>
                <w:szCs w:val="18"/>
              </w:rPr>
              <w:t>df</w:t>
            </w:r>
          </w:p>
        </w:tc>
        <w:tc>
          <w:tcPr>
            <w:tcW w:w="2977" w:type="dxa"/>
            <w:tcBorders>
              <w:top w:val="single" w:sz="16" w:space="0" w:color="000000"/>
              <w:bottom w:val="single" w:sz="16" w:space="0" w:color="000000"/>
              <w:right w:val="single" w:sz="16" w:space="0" w:color="000000"/>
            </w:tcBorders>
            <w:shd w:val="clear" w:color="auto" w:fill="FFFFFF"/>
            <w:vAlign w:val="bottom"/>
          </w:tcPr>
          <w:p w:rsidR="008018EE" w:rsidRPr="00DB697F" w:rsidRDefault="008018EE" w:rsidP="008018EE">
            <w:pPr>
              <w:autoSpaceDE w:val="0"/>
              <w:autoSpaceDN w:val="0"/>
              <w:adjustRightInd w:val="0"/>
              <w:spacing w:line="276" w:lineRule="auto"/>
              <w:ind w:left="60" w:right="60"/>
              <w:jc w:val="center"/>
              <w:rPr>
                <w:rFonts w:ascii="Arial" w:hAnsi="Arial" w:cs="Arial"/>
                <w:color w:val="000000"/>
                <w:sz w:val="18"/>
                <w:szCs w:val="18"/>
              </w:rPr>
            </w:pPr>
            <w:r w:rsidRPr="00DB697F">
              <w:rPr>
                <w:rFonts w:ascii="Arial" w:hAnsi="Arial" w:cs="Arial"/>
                <w:color w:val="000000"/>
                <w:sz w:val="18"/>
                <w:szCs w:val="18"/>
              </w:rPr>
              <w:t>Asymp. Sig. (2-sided)</w:t>
            </w:r>
          </w:p>
        </w:tc>
      </w:tr>
      <w:tr w:rsidR="008018EE" w:rsidRPr="00DB697F" w:rsidTr="008018EE">
        <w:trPr>
          <w:cantSplit/>
          <w:tblHeader/>
        </w:trPr>
        <w:tc>
          <w:tcPr>
            <w:tcW w:w="2835" w:type="dxa"/>
            <w:tcBorders>
              <w:top w:val="single" w:sz="16" w:space="0" w:color="000000"/>
              <w:left w:val="single" w:sz="16" w:space="0" w:color="000000"/>
              <w:bottom w:val="nil"/>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rPr>
                <w:rFonts w:ascii="Arial" w:hAnsi="Arial" w:cs="Arial"/>
                <w:color w:val="000000"/>
                <w:sz w:val="18"/>
                <w:szCs w:val="18"/>
              </w:rPr>
            </w:pPr>
            <w:r w:rsidRPr="00DB697F">
              <w:rPr>
                <w:rFonts w:ascii="Arial" w:hAnsi="Arial" w:cs="Arial"/>
                <w:color w:val="000000"/>
                <w:sz w:val="18"/>
                <w:szCs w:val="18"/>
              </w:rPr>
              <w:t>Pearson Chi-Square</w:t>
            </w:r>
          </w:p>
        </w:tc>
        <w:tc>
          <w:tcPr>
            <w:tcW w:w="1560" w:type="dxa"/>
            <w:tcBorders>
              <w:top w:val="single" w:sz="16" w:space="0" w:color="000000"/>
              <w:left w:val="single" w:sz="16" w:space="0" w:color="000000"/>
              <w:bottom w:val="nil"/>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15.513</w:t>
            </w:r>
            <w:r w:rsidRPr="00DB697F">
              <w:rPr>
                <w:rFonts w:ascii="Arial" w:hAnsi="Arial" w:cs="Arial"/>
                <w:color w:val="000000"/>
                <w:sz w:val="18"/>
                <w:szCs w:val="18"/>
                <w:vertAlign w:val="superscript"/>
              </w:rPr>
              <w:t>a</w:t>
            </w:r>
          </w:p>
        </w:tc>
        <w:tc>
          <w:tcPr>
            <w:tcW w:w="1559" w:type="dxa"/>
            <w:tcBorders>
              <w:top w:val="single" w:sz="16" w:space="0" w:color="000000"/>
              <w:bottom w:val="nil"/>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20</w:t>
            </w:r>
          </w:p>
        </w:tc>
        <w:tc>
          <w:tcPr>
            <w:tcW w:w="2977" w:type="dxa"/>
            <w:tcBorders>
              <w:top w:val="single" w:sz="16" w:space="0" w:color="000000"/>
              <w:bottom w:val="nil"/>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.746</w:t>
            </w:r>
          </w:p>
        </w:tc>
      </w:tr>
      <w:tr w:rsidR="008018EE" w:rsidRPr="00DB697F" w:rsidTr="008018EE">
        <w:trPr>
          <w:cantSplit/>
          <w:tblHeader/>
        </w:trPr>
        <w:tc>
          <w:tcPr>
            <w:tcW w:w="2835" w:type="dxa"/>
            <w:tcBorders>
              <w:top w:val="nil"/>
              <w:left w:val="single" w:sz="16" w:space="0" w:color="000000"/>
              <w:bottom w:val="nil"/>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rPr>
                <w:rFonts w:ascii="Arial" w:hAnsi="Arial" w:cs="Arial"/>
                <w:color w:val="000000"/>
                <w:sz w:val="18"/>
                <w:szCs w:val="18"/>
              </w:rPr>
            </w:pPr>
            <w:r w:rsidRPr="00DB697F">
              <w:rPr>
                <w:rFonts w:ascii="Arial" w:hAnsi="Arial" w:cs="Arial"/>
                <w:color w:val="000000"/>
                <w:sz w:val="18"/>
                <w:szCs w:val="18"/>
              </w:rPr>
              <w:t>Likelihood Ratio</w:t>
            </w:r>
          </w:p>
        </w:tc>
        <w:tc>
          <w:tcPr>
            <w:tcW w:w="1560" w:type="dxa"/>
            <w:tcBorders>
              <w:top w:val="nil"/>
              <w:left w:val="single" w:sz="16" w:space="0" w:color="000000"/>
              <w:bottom w:val="nil"/>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17.499</w:t>
            </w:r>
          </w:p>
        </w:tc>
        <w:tc>
          <w:tcPr>
            <w:tcW w:w="1559" w:type="dxa"/>
            <w:tcBorders>
              <w:top w:val="nil"/>
              <w:bottom w:val="nil"/>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20</w:t>
            </w:r>
          </w:p>
        </w:tc>
        <w:tc>
          <w:tcPr>
            <w:tcW w:w="2977" w:type="dxa"/>
            <w:tcBorders>
              <w:top w:val="nil"/>
              <w:bottom w:val="nil"/>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.620</w:t>
            </w:r>
          </w:p>
        </w:tc>
      </w:tr>
      <w:tr w:rsidR="008018EE" w:rsidRPr="00DB697F" w:rsidTr="008018EE">
        <w:trPr>
          <w:cantSplit/>
          <w:tblHeader/>
        </w:trPr>
        <w:tc>
          <w:tcPr>
            <w:tcW w:w="2835" w:type="dxa"/>
            <w:tcBorders>
              <w:top w:val="nil"/>
              <w:left w:val="single" w:sz="16" w:space="0" w:color="000000"/>
              <w:bottom w:val="nil"/>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rPr>
                <w:rFonts w:ascii="Arial" w:hAnsi="Arial" w:cs="Arial"/>
                <w:color w:val="000000"/>
                <w:sz w:val="18"/>
                <w:szCs w:val="18"/>
              </w:rPr>
            </w:pPr>
            <w:r w:rsidRPr="00DB697F">
              <w:rPr>
                <w:rFonts w:ascii="Arial" w:hAnsi="Arial" w:cs="Arial"/>
                <w:color w:val="000000"/>
                <w:sz w:val="18"/>
                <w:szCs w:val="18"/>
              </w:rPr>
              <w:t>Linear-by-Linear Association</w:t>
            </w:r>
          </w:p>
        </w:tc>
        <w:tc>
          <w:tcPr>
            <w:tcW w:w="1560" w:type="dxa"/>
            <w:tcBorders>
              <w:top w:val="nil"/>
              <w:left w:val="single" w:sz="16" w:space="0" w:color="000000"/>
              <w:bottom w:val="nil"/>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1.335</w:t>
            </w:r>
          </w:p>
        </w:tc>
        <w:tc>
          <w:tcPr>
            <w:tcW w:w="1559" w:type="dxa"/>
            <w:tcBorders>
              <w:top w:val="nil"/>
              <w:bottom w:val="nil"/>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1</w:t>
            </w:r>
          </w:p>
        </w:tc>
        <w:tc>
          <w:tcPr>
            <w:tcW w:w="2977" w:type="dxa"/>
            <w:tcBorders>
              <w:top w:val="nil"/>
              <w:bottom w:val="nil"/>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.248</w:t>
            </w:r>
          </w:p>
        </w:tc>
      </w:tr>
      <w:tr w:rsidR="008018EE" w:rsidRPr="00DB697F" w:rsidTr="008018EE">
        <w:trPr>
          <w:cantSplit/>
          <w:tblHeader/>
        </w:trPr>
        <w:tc>
          <w:tcPr>
            <w:tcW w:w="2835" w:type="dxa"/>
            <w:tcBorders>
              <w:top w:val="nil"/>
              <w:left w:val="single" w:sz="16" w:space="0" w:color="000000"/>
              <w:bottom w:val="single" w:sz="16" w:space="0" w:color="000000"/>
              <w:right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rPr>
                <w:rFonts w:ascii="Arial" w:hAnsi="Arial" w:cs="Arial"/>
                <w:color w:val="000000"/>
                <w:sz w:val="18"/>
                <w:szCs w:val="18"/>
              </w:rPr>
            </w:pPr>
            <w:r w:rsidRPr="00DB697F">
              <w:rPr>
                <w:rFonts w:ascii="Arial" w:hAnsi="Arial" w:cs="Arial"/>
                <w:color w:val="000000"/>
                <w:sz w:val="18"/>
                <w:szCs w:val="18"/>
              </w:rPr>
              <w:t>N of Valid Cases</w:t>
            </w:r>
          </w:p>
        </w:tc>
        <w:tc>
          <w:tcPr>
            <w:tcW w:w="1560" w:type="dxa"/>
            <w:tcBorders>
              <w:top w:val="nil"/>
              <w:left w:val="single" w:sz="16" w:space="0" w:color="000000"/>
              <w:bottom w:val="single" w:sz="16" w:space="0" w:color="000000"/>
            </w:tcBorders>
            <w:shd w:val="clear" w:color="auto" w:fill="FFFFFF"/>
          </w:tcPr>
          <w:p w:rsidR="008018EE" w:rsidRPr="00DB697F"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DB697F">
              <w:rPr>
                <w:rFonts w:ascii="Arial" w:hAnsi="Arial" w:cs="Arial"/>
                <w:color w:val="000000"/>
                <w:sz w:val="18"/>
                <w:szCs w:val="18"/>
              </w:rPr>
              <w:t>113</w:t>
            </w:r>
          </w:p>
        </w:tc>
        <w:tc>
          <w:tcPr>
            <w:tcW w:w="1559" w:type="dxa"/>
            <w:tcBorders>
              <w:top w:val="nil"/>
              <w:bottom w:val="single" w:sz="16" w:space="0" w:color="000000"/>
            </w:tcBorders>
            <w:shd w:val="clear" w:color="auto" w:fill="FFFFFF"/>
            <w:vAlign w:val="center"/>
          </w:tcPr>
          <w:p w:rsidR="008018EE" w:rsidRPr="00DB697F" w:rsidRDefault="008018EE" w:rsidP="008018EE">
            <w:pPr>
              <w:autoSpaceDE w:val="0"/>
              <w:autoSpaceDN w:val="0"/>
              <w:adjustRightInd w:val="0"/>
              <w:spacing w:line="276" w:lineRule="auto"/>
              <w:jc w:val="center"/>
            </w:pPr>
          </w:p>
        </w:tc>
        <w:tc>
          <w:tcPr>
            <w:tcW w:w="2977" w:type="dxa"/>
            <w:tcBorders>
              <w:top w:val="nil"/>
              <w:bottom w:val="single" w:sz="16" w:space="0" w:color="000000"/>
              <w:right w:val="single" w:sz="16" w:space="0" w:color="000000"/>
            </w:tcBorders>
            <w:shd w:val="clear" w:color="auto" w:fill="FFFFFF"/>
            <w:vAlign w:val="center"/>
          </w:tcPr>
          <w:p w:rsidR="008018EE" w:rsidRPr="00DB697F" w:rsidRDefault="008018EE" w:rsidP="008018EE">
            <w:pPr>
              <w:autoSpaceDE w:val="0"/>
              <w:autoSpaceDN w:val="0"/>
              <w:adjustRightInd w:val="0"/>
              <w:spacing w:line="276" w:lineRule="auto"/>
              <w:jc w:val="center"/>
            </w:pPr>
          </w:p>
        </w:tc>
      </w:tr>
      <w:tr w:rsidR="008018EE" w:rsidRPr="008D2C5B" w:rsidTr="008018EE">
        <w:trPr>
          <w:cantSplit/>
        </w:trPr>
        <w:tc>
          <w:tcPr>
            <w:tcW w:w="8931" w:type="dxa"/>
            <w:gridSpan w:val="4"/>
            <w:tcBorders>
              <w:top w:val="nil"/>
              <w:left w:val="nil"/>
              <w:bottom w:val="nil"/>
              <w:right w:val="nil"/>
            </w:tcBorders>
            <w:shd w:val="clear" w:color="auto" w:fill="FFFFFF"/>
          </w:tcPr>
          <w:p w:rsidR="008018EE" w:rsidRPr="00DB697F" w:rsidRDefault="00E2271A" w:rsidP="008018EE">
            <w:pPr>
              <w:autoSpaceDE w:val="0"/>
              <w:autoSpaceDN w:val="0"/>
              <w:adjustRightInd w:val="0"/>
              <w:spacing w:line="276" w:lineRule="auto"/>
              <w:ind w:left="60" w:right="60"/>
              <w:rPr>
                <w:rFonts w:ascii="Arial" w:hAnsi="Arial" w:cs="Arial"/>
                <w:color w:val="000000"/>
                <w:sz w:val="18"/>
                <w:szCs w:val="18"/>
                <w:lang w:val="en-US"/>
              </w:rPr>
            </w:pPr>
            <w:r>
              <w:rPr>
                <w:rFonts w:ascii="Arial" w:hAnsi="Arial" w:cs="Arial"/>
                <w:color w:val="000000"/>
                <w:sz w:val="18"/>
                <w:szCs w:val="18"/>
                <w:lang w:val="en-US"/>
              </w:rPr>
              <w:t>Tabell 5</w:t>
            </w:r>
            <w:r w:rsidR="008018EE">
              <w:rPr>
                <w:rFonts w:ascii="Arial" w:hAnsi="Arial" w:cs="Arial"/>
                <w:color w:val="000000"/>
                <w:sz w:val="18"/>
                <w:szCs w:val="18"/>
                <w:lang w:val="en-US"/>
              </w:rPr>
              <w:t xml:space="preserve">: </w:t>
            </w:r>
            <w:r w:rsidR="008018EE" w:rsidRPr="00DB697F">
              <w:rPr>
                <w:rFonts w:ascii="Arial" w:hAnsi="Arial" w:cs="Arial"/>
                <w:color w:val="000000"/>
                <w:sz w:val="18"/>
                <w:szCs w:val="18"/>
                <w:lang w:val="en-US"/>
              </w:rPr>
              <w:t>a. 20 cells (66,7%) have expected count less than 5. The minimum expected count is ,25.</w:t>
            </w:r>
          </w:p>
        </w:tc>
      </w:tr>
    </w:tbl>
    <w:p w:rsidR="008018EE" w:rsidRPr="00CC0F78" w:rsidRDefault="008018EE" w:rsidP="008018EE">
      <w:pPr>
        <w:autoSpaceDE w:val="0"/>
        <w:autoSpaceDN w:val="0"/>
        <w:adjustRightInd w:val="0"/>
        <w:spacing w:line="276" w:lineRule="auto"/>
        <w:rPr>
          <w:lang w:val="en-US"/>
        </w:rPr>
      </w:pPr>
    </w:p>
    <w:p w:rsidR="008018EE" w:rsidRDefault="008018EE" w:rsidP="008018EE">
      <w:pPr>
        <w:autoSpaceDE w:val="0"/>
        <w:autoSpaceDN w:val="0"/>
        <w:adjustRightInd w:val="0"/>
        <w:spacing w:line="276" w:lineRule="auto"/>
      </w:pPr>
      <w:r>
        <w:t>Kjikvadrat</w:t>
      </w:r>
      <w:r w:rsidR="00036278">
        <w:t xml:space="preserve">testen viser en verdi </w:t>
      </w:r>
      <w:r>
        <w:t xml:space="preserve">på .746, noe som innebærer at det er 74,6 % sjanse for å forkaste en sann 0-hypotese (at det ikke er noen sammenheng mellom mestringsforventning og studiested). </w:t>
      </w:r>
      <w:r w:rsidR="00036278">
        <w:t xml:space="preserve">En slik verdi er langt fra den valgte grensen på 5 %. Denne testen gir derfor ingen </w:t>
      </w:r>
      <w:r>
        <w:t xml:space="preserve">støtte for å kunne si at det er en </w:t>
      </w:r>
      <w:r w:rsidR="00036278">
        <w:t xml:space="preserve">signifikant </w:t>
      </w:r>
      <w:r>
        <w:t>sammenheng mellom mestringsforventning og studiested.</w:t>
      </w:r>
    </w:p>
    <w:p w:rsidR="00036278" w:rsidRPr="005B522A" w:rsidRDefault="00036278" w:rsidP="008018EE">
      <w:pPr>
        <w:autoSpaceDE w:val="0"/>
        <w:autoSpaceDN w:val="0"/>
        <w:adjustRightInd w:val="0"/>
        <w:spacing w:line="276" w:lineRule="auto"/>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1560"/>
        <w:gridCol w:w="1541"/>
        <w:gridCol w:w="18"/>
        <w:gridCol w:w="2977"/>
      </w:tblGrid>
      <w:tr w:rsidR="008018EE" w:rsidRPr="005B522A" w:rsidTr="008018EE">
        <w:trPr>
          <w:gridAfter w:val="2"/>
          <w:wAfter w:w="2995" w:type="dxa"/>
          <w:cantSplit/>
          <w:tblHeader/>
        </w:trPr>
        <w:tc>
          <w:tcPr>
            <w:tcW w:w="5936" w:type="dxa"/>
            <w:gridSpan w:val="3"/>
            <w:tcBorders>
              <w:top w:val="nil"/>
              <w:left w:val="nil"/>
              <w:bottom w:val="nil"/>
              <w:right w:val="nil"/>
            </w:tcBorders>
            <w:shd w:val="clear" w:color="auto" w:fill="FFFFFF"/>
            <w:vAlign w:val="center"/>
          </w:tcPr>
          <w:p w:rsidR="008018EE" w:rsidRPr="005B522A" w:rsidRDefault="008018EE" w:rsidP="008018EE">
            <w:pPr>
              <w:autoSpaceDE w:val="0"/>
              <w:autoSpaceDN w:val="0"/>
              <w:adjustRightInd w:val="0"/>
              <w:spacing w:line="276" w:lineRule="auto"/>
              <w:ind w:right="60"/>
              <w:rPr>
                <w:rFonts w:ascii="Arial" w:hAnsi="Arial" w:cs="Arial"/>
                <w:color w:val="000000"/>
                <w:sz w:val="18"/>
                <w:szCs w:val="18"/>
              </w:rPr>
            </w:pPr>
          </w:p>
        </w:tc>
      </w:tr>
      <w:tr w:rsidR="008018EE" w:rsidRPr="003A4444" w:rsidTr="008018EE">
        <w:trPr>
          <w:cantSplit/>
          <w:tblHeader/>
        </w:trPr>
        <w:tc>
          <w:tcPr>
            <w:tcW w:w="8931" w:type="dxa"/>
            <w:gridSpan w:val="5"/>
            <w:tcBorders>
              <w:top w:val="nil"/>
              <w:left w:val="nil"/>
              <w:bottom w:val="nil"/>
              <w:right w:val="nil"/>
            </w:tcBorders>
            <w:shd w:val="clear" w:color="auto" w:fill="FFFFFF"/>
            <w:vAlign w:val="center"/>
          </w:tcPr>
          <w:p w:rsidR="008018EE" w:rsidRPr="00E2271A" w:rsidRDefault="00036278" w:rsidP="008018EE">
            <w:pPr>
              <w:autoSpaceDE w:val="0"/>
              <w:autoSpaceDN w:val="0"/>
              <w:adjustRightInd w:val="0"/>
              <w:spacing w:line="276" w:lineRule="auto"/>
              <w:ind w:left="60" w:right="60"/>
              <w:rPr>
                <w:u w:val="single"/>
              </w:rPr>
            </w:pPr>
            <w:r>
              <w:rPr>
                <w:u w:val="single"/>
              </w:rPr>
              <w:t>Khikvadrattest mellom ulike yrkesfaglærerutdanninger</w:t>
            </w:r>
            <w:r w:rsidR="008018EE" w:rsidRPr="003A4444">
              <w:rPr>
                <w:u w:val="single"/>
              </w:rPr>
              <w:t xml:space="preserve"> og </w:t>
            </w:r>
            <w:r w:rsidR="00E2271A">
              <w:rPr>
                <w:u w:val="single"/>
              </w:rPr>
              <w:t>studentenes opplevelse av om utdanningen h</w:t>
            </w:r>
            <w:r w:rsidR="008018EE" w:rsidRPr="003A4444">
              <w:rPr>
                <w:u w:val="single"/>
              </w:rPr>
              <w:t xml:space="preserve">ar forberedt studentene </w:t>
            </w:r>
            <w:r w:rsidR="00E2271A">
              <w:rPr>
                <w:u w:val="single"/>
              </w:rPr>
              <w:t xml:space="preserve">godt til å </w:t>
            </w:r>
            <w:r w:rsidR="00E2271A" w:rsidRPr="00E2271A">
              <w:rPr>
                <w:u w:val="single"/>
              </w:rPr>
              <w:t>organisere en meningsfull yrkesopplæring for elever med ulike yrkesinteresser</w:t>
            </w:r>
            <w:r w:rsidR="00DE465B">
              <w:rPr>
                <w:u w:val="single"/>
              </w:rPr>
              <w:t xml:space="preserve"> (item 3 og 7)</w:t>
            </w:r>
            <w:r w:rsidR="00E2271A" w:rsidRPr="00E2271A">
              <w:rPr>
                <w:u w:val="single"/>
              </w:rPr>
              <w:t>.</w:t>
            </w:r>
          </w:p>
          <w:p w:rsidR="008018EE" w:rsidRPr="003A4444" w:rsidRDefault="008018EE" w:rsidP="008018EE">
            <w:pPr>
              <w:autoSpaceDE w:val="0"/>
              <w:autoSpaceDN w:val="0"/>
              <w:adjustRightInd w:val="0"/>
              <w:spacing w:line="276" w:lineRule="auto"/>
              <w:ind w:right="60"/>
              <w:rPr>
                <w:rFonts w:ascii="Arial" w:hAnsi="Arial" w:cs="Arial"/>
                <w:color w:val="000000"/>
                <w:sz w:val="18"/>
                <w:szCs w:val="18"/>
              </w:rPr>
            </w:pPr>
          </w:p>
        </w:tc>
      </w:tr>
      <w:tr w:rsidR="008018EE" w:rsidRPr="003A4444" w:rsidTr="008018EE">
        <w:trPr>
          <w:cantSplit/>
          <w:tblHeader/>
        </w:trPr>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018EE" w:rsidRPr="003A4444" w:rsidRDefault="008018EE" w:rsidP="008018EE">
            <w:pPr>
              <w:autoSpaceDE w:val="0"/>
              <w:autoSpaceDN w:val="0"/>
              <w:adjustRightInd w:val="0"/>
              <w:spacing w:line="276" w:lineRule="auto"/>
              <w:jc w:val="center"/>
            </w:pPr>
          </w:p>
        </w:tc>
        <w:tc>
          <w:tcPr>
            <w:tcW w:w="1560" w:type="dxa"/>
            <w:tcBorders>
              <w:top w:val="single" w:sz="16" w:space="0" w:color="000000"/>
              <w:left w:val="single" w:sz="16" w:space="0" w:color="000000"/>
              <w:bottom w:val="single" w:sz="16" w:space="0" w:color="000000"/>
            </w:tcBorders>
            <w:shd w:val="clear" w:color="auto" w:fill="FFFFFF"/>
            <w:vAlign w:val="bottom"/>
          </w:tcPr>
          <w:p w:rsidR="008018EE" w:rsidRPr="003A4444" w:rsidRDefault="008018EE" w:rsidP="008018EE">
            <w:pPr>
              <w:autoSpaceDE w:val="0"/>
              <w:autoSpaceDN w:val="0"/>
              <w:adjustRightInd w:val="0"/>
              <w:spacing w:line="276" w:lineRule="auto"/>
              <w:ind w:left="60" w:right="60"/>
              <w:jc w:val="center"/>
              <w:rPr>
                <w:rFonts w:ascii="Arial" w:hAnsi="Arial" w:cs="Arial"/>
                <w:color w:val="000000"/>
                <w:sz w:val="18"/>
                <w:szCs w:val="18"/>
              </w:rPr>
            </w:pPr>
            <w:r w:rsidRPr="003A4444">
              <w:rPr>
                <w:rFonts w:ascii="Arial" w:hAnsi="Arial" w:cs="Arial"/>
                <w:color w:val="000000"/>
                <w:sz w:val="18"/>
                <w:szCs w:val="18"/>
              </w:rPr>
              <w:t>Value</w:t>
            </w:r>
          </w:p>
        </w:tc>
        <w:tc>
          <w:tcPr>
            <w:tcW w:w="1559" w:type="dxa"/>
            <w:gridSpan w:val="2"/>
            <w:tcBorders>
              <w:top w:val="single" w:sz="16" w:space="0" w:color="000000"/>
              <w:bottom w:val="single" w:sz="16" w:space="0" w:color="000000"/>
            </w:tcBorders>
            <w:shd w:val="clear" w:color="auto" w:fill="FFFFFF"/>
            <w:vAlign w:val="bottom"/>
          </w:tcPr>
          <w:p w:rsidR="008018EE" w:rsidRPr="003A4444" w:rsidRDefault="008018EE" w:rsidP="008018EE">
            <w:pPr>
              <w:autoSpaceDE w:val="0"/>
              <w:autoSpaceDN w:val="0"/>
              <w:adjustRightInd w:val="0"/>
              <w:spacing w:line="276" w:lineRule="auto"/>
              <w:ind w:left="60" w:right="60"/>
              <w:jc w:val="center"/>
              <w:rPr>
                <w:rFonts w:ascii="Arial" w:hAnsi="Arial" w:cs="Arial"/>
                <w:color w:val="000000"/>
                <w:sz w:val="18"/>
                <w:szCs w:val="18"/>
              </w:rPr>
            </w:pPr>
            <w:r w:rsidRPr="003A4444">
              <w:rPr>
                <w:rFonts w:ascii="Arial" w:hAnsi="Arial" w:cs="Arial"/>
                <w:color w:val="000000"/>
                <w:sz w:val="18"/>
                <w:szCs w:val="18"/>
              </w:rPr>
              <w:t>df</w:t>
            </w:r>
          </w:p>
        </w:tc>
        <w:tc>
          <w:tcPr>
            <w:tcW w:w="2977" w:type="dxa"/>
            <w:tcBorders>
              <w:top w:val="single" w:sz="16" w:space="0" w:color="000000"/>
              <w:bottom w:val="single" w:sz="16" w:space="0" w:color="000000"/>
              <w:right w:val="single" w:sz="16" w:space="0" w:color="000000"/>
            </w:tcBorders>
            <w:shd w:val="clear" w:color="auto" w:fill="FFFFFF"/>
            <w:vAlign w:val="bottom"/>
          </w:tcPr>
          <w:p w:rsidR="008018EE" w:rsidRPr="003A4444" w:rsidRDefault="008018EE" w:rsidP="008018EE">
            <w:pPr>
              <w:autoSpaceDE w:val="0"/>
              <w:autoSpaceDN w:val="0"/>
              <w:adjustRightInd w:val="0"/>
              <w:spacing w:line="276" w:lineRule="auto"/>
              <w:ind w:left="60" w:right="60"/>
              <w:jc w:val="center"/>
              <w:rPr>
                <w:rFonts w:ascii="Arial" w:hAnsi="Arial" w:cs="Arial"/>
                <w:color w:val="000000"/>
                <w:sz w:val="18"/>
                <w:szCs w:val="18"/>
              </w:rPr>
            </w:pPr>
            <w:r w:rsidRPr="003A4444">
              <w:rPr>
                <w:rFonts w:ascii="Arial" w:hAnsi="Arial" w:cs="Arial"/>
                <w:color w:val="000000"/>
                <w:sz w:val="18"/>
                <w:szCs w:val="18"/>
              </w:rPr>
              <w:t>Asymp. Sig. (2-sided)</w:t>
            </w:r>
          </w:p>
        </w:tc>
      </w:tr>
      <w:tr w:rsidR="008018EE" w:rsidRPr="003A4444" w:rsidTr="008018EE">
        <w:trPr>
          <w:cantSplit/>
          <w:tblHeader/>
        </w:trPr>
        <w:tc>
          <w:tcPr>
            <w:tcW w:w="2835" w:type="dxa"/>
            <w:tcBorders>
              <w:top w:val="single" w:sz="16" w:space="0" w:color="000000"/>
              <w:left w:val="single" w:sz="16" w:space="0" w:color="000000"/>
              <w:bottom w:val="nil"/>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rPr>
                <w:rFonts w:ascii="Arial" w:hAnsi="Arial" w:cs="Arial"/>
                <w:color w:val="000000"/>
                <w:sz w:val="18"/>
                <w:szCs w:val="18"/>
              </w:rPr>
            </w:pPr>
            <w:r w:rsidRPr="003A4444">
              <w:rPr>
                <w:rFonts w:ascii="Arial" w:hAnsi="Arial" w:cs="Arial"/>
                <w:color w:val="000000"/>
                <w:sz w:val="18"/>
                <w:szCs w:val="18"/>
              </w:rPr>
              <w:t>Pearson Chi-Square</w:t>
            </w:r>
          </w:p>
        </w:tc>
        <w:tc>
          <w:tcPr>
            <w:tcW w:w="1560" w:type="dxa"/>
            <w:tcBorders>
              <w:top w:val="single" w:sz="16" w:space="0" w:color="000000"/>
              <w:left w:val="single" w:sz="16" w:space="0" w:color="000000"/>
              <w:bottom w:val="nil"/>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18.362</w:t>
            </w:r>
            <w:r w:rsidRPr="003A4444">
              <w:rPr>
                <w:rFonts w:ascii="Arial" w:hAnsi="Arial" w:cs="Arial"/>
                <w:color w:val="000000"/>
                <w:sz w:val="18"/>
                <w:szCs w:val="18"/>
                <w:vertAlign w:val="superscript"/>
              </w:rPr>
              <w:t>a</w:t>
            </w:r>
          </w:p>
        </w:tc>
        <w:tc>
          <w:tcPr>
            <w:tcW w:w="1559" w:type="dxa"/>
            <w:gridSpan w:val="2"/>
            <w:tcBorders>
              <w:top w:val="single" w:sz="16" w:space="0" w:color="000000"/>
              <w:bottom w:val="nil"/>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20</w:t>
            </w:r>
          </w:p>
        </w:tc>
        <w:tc>
          <w:tcPr>
            <w:tcW w:w="2977" w:type="dxa"/>
            <w:tcBorders>
              <w:top w:val="single" w:sz="16" w:space="0" w:color="000000"/>
              <w:bottom w:val="nil"/>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.564</w:t>
            </w:r>
          </w:p>
        </w:tc>
      </w:tr>
      <w:tr w:rsidR="008018EE" w:rsidRPr="003A4444" w:rsidTr="008018EE">
        <w:trPr>
          <w:cantSplit/>
          <w:tblHeader/>
        </w:trPr>
        <w:tc>
          <w:tcPr>
            <w:tcW w:w="2835" w:type="dxa"/>
            <w:tcBorders>
              <w:top w:val="nil"/>
              <w:left w:val="single" w:sz="16" w:space="0" w:color="000000"/>
              <w:bottom w:val="nil"/>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rPr>
                <w:rFonts w:ascii="Arial" w:hAnsi="Arial" w:cs="Arial"/>
                <w:color w:val="000000"/>
                <w:sz w:val="18"/>
                <w:szCs w:val="18"/>
              </w:rPr>
            </w:pPr>
            <w:r w:rsidRPr="003A4444">
              <w:rPr>
                <w:rFonts w:ascii="Arial" w:hAnsi="Arial" w:cs="Arial"/>
                <w:color w:val="000000"/>
                <w:sz w:val="18"/>
                <w:szCs w:val="18"/>
              </w:rPr>
              <w:t>Likelihood Ratio</w:t>
            </w:r>
          </w:p>
        </w:tc>
        <w:tc>
          <w:tcPr>
            <w:tcW w:w="1560" w:type="dxa"/>
            <w:tcBorders>
              <w:top w:val="nil"/>
              <w:left w:val="single" w:sz="16" w:space="0" w:color="000000"/>
              <w:bottom w:val="nil"/>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22.461</w:t>
            </w:r>
          </w:p>
        </w:tc>
        <w:tc>
          <w:tcPr>
            <w:tcW w:w="1559" w:type="dxa"/>
            <w:gridSpan w:val="2"/>
            <w:tcBorders>
              <w:top w:val="nil"/>
              <w:bottom w:val="nil"/>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20</w:t>
            </w:r>
          </w:p>
        </w:tc>
        <w:tc>
          <w:tcPr>
            <w:tcW w:w="2977" w:type="dxa"/>
            <w:tcBorders>
              <w:top w:val="nil"/>
              <w:bottom w:val="nil"/>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.316</w:t>
            </w:r>
          </w:p>
        </w:tc>
      </w:tr>
      <w:tr w:rsidR="008018EE" w:rsidRPr="003A4444" w:rsidTr="008018EE">
        <w:trPr>
          <w:cantSplit/>
          <w:tblHeader/>
        </w:trPr>
        <w:tc>
          <w:tcPr>
            <w:tcW w:w="2835" w:type="dxa"/>
            <w:tcBorders>
              <w:top w:val="nil"/>
              <w:left w:val="single" w:sz="16" w:space="0" w:color="000000"/>
              <w:bottom w:val="nil"/>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rPr>
                <w:rFonts w:ascii="Arial" w:hAnsi="Arial" w:cs="Arial"/>
                <w:color w:val="000000"/>
                <w:sz w:val="18"/>
                <w:szCs w:val="18"/>
              </w:rPr>
            </w:pPr>
            <w:r w:rsidRPr="003A4444">
              <w:rPr>
                <w:rFonts w:ascii="Arial" w:hAnsi="Arial" w:cs="Arial"/>
                <w:color w:val="000000"/>
                <w:sz w:val="18"/>
                <w:szCs w:val="18"/>
              </w:rPr>
              <w:t>Linear-by-Linear Association</w:t>
            </w:r>
          </w:p>
        </w:tc>
        <w:tc>
          <w:tcPr>
            <w:tcW w:w="1560" w:type="dxa"/>
            <w:tcBorders>
              <w:top w:val="nil"/>
              <w:left w:val="single" w:sz="16" w:space="0" w:color="000000"/>
              <w:bottom w:val="nil"/>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.367</w:t>
            </w:r>
          </w:p>
        </w:tc>
        <w:tc>
          <w:tcPr>
            <w:tcW w:w="1559" w:type="dxa"/>
            <w:gridSpan w:val="2"/>
            <w:tcBorders>
              <w:top w:val="nil"/>
              <w:bottom w:val="nil"/>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1</w:t>
            </w:r>
          </w:p>
        </w:tc>
        <w:tc>
          <w:tcPr>
            <w:tcW w:w="2977" w:type="dxa"/>
            <w:tcBorders>
              <w:top w:val="nil"/>
              <w:bottom w:val="nil"/>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.545</w:t>
            </w:r>
          </w:p>
        </w:tc>
      </w:tr>
      <w:tr w:rsidR="008018EE" w:rsidRPr="003A4444" w:rsidTr="008018EE">
        <w:trPr>
          <w:cantSplit/>
          <w:tblHeader/>
        </w:trPr>
        <w:tc>
          <w:tcPr>
            <w:tcW w:w="2835" w:type="dxa"/>
            <w:tcBorders>
              <w:top w:val="nil"/>
              <w:left w:val="single" w:sz="16" w:space="0" w:color="000000"/>
              <w:bottom w:val="single" w:sz="16" w:space="0" w:color="000000"/>
              <w:right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rPr>
                <w:rFonts w:ascii="Arial" w:hAnsi="Arial" w:cs="Arial"/>
                <w:color w:val="000000"/>
                <w:sz w:val="18"/>
                <w:szCs w:val="18"/>
              </w:rPr>
            </w:pPr>
            <w:r w:rsidRPr="003A4444">
              <w:rPr>
                <w:rFonts w:ascii="Arial" w:hAnsi="Arial" w:cs="Arial"/>
                <w:color w:val="000000"/>
                <w:sz w:val="18"/>
                <w:szCs w:val="18"/>
              </w:rPr>
              <w:t>N of Valid Cases</w:t>
            </w:r>
          </w:p>
        </w:tc>
        <w:tc>
          <w:tcPr>
            <w:tcW w:w="1560" w:type="dxa"/>
            <w:tcBorders>
              <w:top w:val="nil"/>
              <w:left w:val="single" w:sz="16" w:space="0" w:color="000000"/>
              <w:bottom w:val="single" w:sz="16" w:space="0" w:color="000000"/>
            </w:tcBorders>
            <w:shd w:val="clear" w:color="auto" w:fill="FFFFFF"/>
          </w:tcPr>
          <w:p w:rsidR="008018EE" w:rsidRPr="003A4444" w:rsidRDefault="008018EE" w:rsidP="008018EE">
            <w:pPr>
              <w:autoSpaceDE w:val="0"/>
              <w:autoSpaceDN w:val="0"/>
              <w:adjustRightInd w:val="0"/>
              <w:spacing w:line="276" w:lineRule="auto"/>
              <w:ind w:left="60" w:right="60"/>
              <w:jc w:val="right"/>
              <w:rPr>
                <w:rFonts w:ascii="Arial" w:hAnsi="Arial" w:cs="Arial"/>
                <w:color w:val="000000"/>
                <w:sz w:val="18"/>
                <w:szCs w:val="18"/>
              </w:rPr>
            </w:pPr>
            <w:r w:rsidRPr="003A4444">
              <w:rPr>
                <w:rFonts w:ascii="Arial" w:hAnsi="Arial" w:cs="Arial"/>
                <w:color w:val="000000"/>
                <w:sz w:val="18"/>
                <w:szCs w:val="18"/>
              </w:rPr>
              <w:t>118</w:t>
            </w:r>
          </w:p>
        </w:tc>
        <w:tc>
          <w:tcPr>
            <w:tcW w:w="1559" w:type="dxa"/>
            <w:gridSpan w:val="2"/>
            <w:tcBorders>
              <w:top w:val="nil"/>
              <w:bottom w:val="single" w:sz="16" w:space="0" w:color="000000"/>
            </w:tcBorders>
            <w:shd w:val="clear" w:color="auto" w:fill="FFFFFF"/>
            <w:vAlign w:val="center"/>
          </w:tcPr>
          <w:p w:rsidR="008018EE" w:rsidRPr="003A4444" w:rsidRDefault="008018EE" w:rsidP="008018EE">
            <w:pPr>
              <w:autoSpaceDE w:val="0"/>
              <w:autoSpaceDN w:val="0"/>
              <w:adjustRightInd w:val="0"/>
              <w:spacing w:line="276" w:lineRule="auto"/>
              <w:jc w:val="center"/>
            </w:pPr>
          </w:p>
        </w:tc>
        <w:tc>
          <w:tcPr>
            <w:tcW w:w="2977" w:type="dxa"/>
            <w:tcBorders>
              <w:top w:val="nil"/>
              <w:bottom w:val="single" w:sz="16" w:space="0" w:color="000000"/>
              <w:right w:val="single" w:sz="16" w:space="0" w:color="000000"/>
            </w:tcBorders>
            <w:shd w:val="clear" w:color="auto" w:fill="FFFFFF"/>
            <w:vAlign w:val="center"/>
          </w:tcPr>
          <w:p w:rsidR="008018EE" w:rsidRPr="003A4444" w:rsidRDefault="008018EE" w:rsidP="008018EE">
            <w:pPr>
              <w:autoSpaceDE w:val="0"/>
              <w:autoSpaceDN w:val="0"/>
              <w:adjustRightInd w:val="0"/>
              <w:spacing w:line="276" w:lineRule="auto"/>
              <w:jc w:val="center"/>
            </w:pPr>
          </w:p>
        </w:tc>
      </w:tr>
      <w:tr w:rsidR="008018EE" w:rsidRPr="0066320F" w:rsidTr="008018EE">
        <w:trPr>
          <w:cantSplit/>
        </w:trPr>
        <w:tc>
          <w:tcPr>
            <w:tcW w:w="8931" w:type="dxa"/>
            <w:gridSpan w:val="5"/>
            <w:tcBorders>
              <w:top w:val="nil"/>
              <w:left w:val="nil"/>
              <w:bottom w:val="nil"/>
              <w:right w:val="nil"/>
            </w:tcBorders>
            <w:shd w:val="clear" w:color="auto" w:fill="FFFFFF"/>
          </w:tcPr>
          <w:p w:rsidR="008018EE" w:rsidRPr="003A4444" w:rsidRDefault="00E2271A" w:rsidP="008018EE">
            <w:pPr>
              <w:autoSpaceDE w:val="0"/>
              <w:autoSpaceDN w:val="0"/>
              <w:adjustRightInd w:val="0"/>
              <w:spacing w:line="276" w:lineRule="auto"/>
              <w:ind w:right="60"/>
              <w:rPr>
                <w:rFonts w:ascii="Arial" w:hAnsi="Arial" w:cs="Arial"/>
                <w:color w:val="000000"/>
                <w:sz w:val="18"/>
                <w:szCs w:val="18"/>
                <w:lang w:val="en-US"/>
              </w:rPr>
            </w:pPr>
            <w:r>
              <w:rPr>
                <w:rFonts w:ascii="Arial" w:hAnsi="Arial" w:cs="Arial"/>
                <w:color w:val="000000"/>
                <w:sz w:val="18"/>
                <w:szCs w:val="18"/>
                <w:lang w:val="en-US"/>
              </w:rPr>
              <w:t>Tabell 6</w:t>
            </w:r>
            <w:r w:rsidR="008018EE">
              <w:rPr>
                <w:rFonts w:ascii="Arial" w:hAnsi="Arial" w:cs="Arial"/>
                <w:color w:val="000000"/>
                <w:sz w:val="18"/>
                <w:szCs w:val="18"/>
                <w:lang w:val="en-US"/>
              </w:rPr>
              <w:t xml:space="preserve">: </w:t>
            </w:r>
            <w:r w:rsidR="008018EE" w:rsidRPr="003A4444">
              <w:rPr>
                <w:rFonts w:ascii="Arial" w:hAnsi="Arial" w:cs="Arial"/>
                <w:color w:val="000000"/>
                <w:sz w:val="18"/>
                <w:szCs w:val="18"/>
                <w:lang w:val="en-US"/>
              </w:rPr>
              <w:t>a. 25 cells (83,3%) have expected count less than 5. The minimum expected count is ,59.</w:t>
            </w:r>
          </w:p>
        </w:tc>
      </w:tr>
    </w:tbl>
    <w:p w:rsidR="008018EE" w:rsidRPr="003876C3" w:rsidRDefault="008018EE" w:rsidP="008018EE">
      <w:pPr>
        <w:autoSpaceDE w:val="0"/>
        <w:autoSpaceDN w:val="0"/>
        <w:adjustRightInd w:val="0"/>
        <w:spacing w:line="276" w:lineRule="auto"/>
        <w:rPr>
          <w:lang w:val="en-US"/>
        </w:rPr>
      </w:pPr>
    </w:p>
    <w:p w:rsidR="008018EE" w:rsidRPr="003A4444" w:rsidRDefault="008018EE" w:rsidP="008018EE">
      <w:pPr>
        <w:autoSpaceDE w:val="0"/>
        <w:autoSpaceDN w:val="0"/>
        <w:adjustRightInd w:val="0"/>
        <w:spacing w:line="276" w:lineRule="auto"/>
      </w:pPr>
      <w:r w:rsidRPr="003A4444">
        <w:t xml:space="preserve">Også her viser </w:t>
      </w:r>
      <w:r>
        <w:t>khikvadrattesten at muligheten til å forkaste en sann 0-hypotese er svært stor, nemlig 56, 4 %. På samme måte som ved forrige khikvadrattest så innebærer dette</w:t>
      </w:r>
      <w:r w:rsidR="00036278">
        <w:t xml:space="preserve"> resultatet at det ikke kan sies å være en</w:t>
      </w:r>
      <w:r>
        <w:t xml:space="preserve"> signifikant sammenheng mellom studiested og om studentene opplever at studiet har forberedt dem</w:t>
      </w:r>
      <w:r w:rsidR="00036278">
        <w:t xml:space="preserve"> godt</w:t>
      </w:r>
      <w:r>
        <w:t xml:space="preserve"> til å organisere en meningsfull opplæring for elever med ulike yrkesinteresser. Om dette er en realitet vil bli testet gjennom flere analyser.</w:t>
      </w:r>
    </w:p>
    <w:p w:rsidR="008018EE" w:rsidRDefault="008018EE" w:rsidP="008018EE">
      <w:pPr>
        <w:spacing w:line="276" w:lineRule="auto"/>
        <w:rPr>
          <w:rStyle w:val="Sterkutheving"/>
        </w:rPr>
      </w:pPr>
    </w:p>
    <w:p w:rsidR="00036278" w:rsidRDefault="00036278" w:rsidP="008018EE">
      <w:pPr>
        <w:spacing w:line="276" w:lineRule="auto"/>
        <w:rPr>
          <w:rStyle w:val="Sterkutheving"/>
        </w:rPr>
      </w:pPr>
    </w:p>
    <w:p w:rsidR="008018EE" w:rsidRPr="003238F4" w:rsidRDefault="008018EE" w:rsidP="00DE465B">
      <w:pPr>
        <w:pStyle w:val="Undertittel"/>
        <w:numPr>
          <w:ilvl w:val="0"/>
          <w:numId w:val="4"/>
        </w:numPr>
        <w:rPr>
          <w:rStyle w:val="Sterkutheving"/>
          <w:i/>
          <w:sz w:val="28"/>
          <w:szCs w:val="28"/>
        </w:rPr>
      </w:pPr>
      <w:r w:rsidRPr="003238F4">
        <w:rPr>
          <w:rStyle w:val="Sterkutheving"/>
          <w:i/>
          <w:sz w:val="28"/>
          <w:szCs w:val="28"/>
        </w:rPr>
        <w:t>Biva</w:t>
      </w:r>
      <w:r w:rsidR="00D609BB">
        <w:rPr>
          <w:rStyle w:val="Sterkutheving"/>
          <w:i/>
          <w:sz w:val="28"/>
          <w:szCs w:val="28"/>
        </w:rPr>
        <w:t>riat korrelasjon (</w:t>
      </w:r>
      <w:r w:rsidRPr="003238F4">
        <w:rPr>
          <w:rStyle w:val="Sterkutheving"/>
          <w:i/>
          <w:sz w:val="28"/>
          <w:szCs w:val="28"/>
        </w:rPr>
        <w:t>Spearman’s rho)</w:t>
      </w:r>
    </w:p>
    <w:p w:rsidR="008018EE" w:rsidRDefault="008018EE" w:rsidP="008018EE">
      <w:pPr>
        <w:spacing w:line="276" w:lineRule="auto"/>
      </w:pPr>
      <w:r>
        <w:t>En utvidet analyse av eventuelle sammenhenger mellom ite</w:t>
      </w:r>
      <w:r w:rsidR="00D609BB">
        <w:t xml:space="preserve">mene gjennomføres ved hjelp av </w:t>
      </w:r>
      <w:r>
        <w:t>en Spearman’s r-analyse</w:t>
      </w:r>
      <w:r w:rsidR="00D609BB">
        <w:t xml:space="preserve">. </w:t>
      </w:r>
      <w:r>
        <w:t>Målet e</w:t>
      </w:r>
      <w:r w:rsidR="0066320F">
        <w:t>r å kontrollere resultatene i Kj</w:t>
      </w:r>
      <w:r>
        <w:t>ikvadratanalysen.</w:t>
      </w:r>
    </w:p>
    <w:p w:rsidR="008018EE" w:rsidRDefault="008018EE" w:rsidP="008018EE">
      <w:pPr>
        <w:spacing w:line="276" w:lineRule="auto"/>
      </w:pPr>
    </w:p>
    <w:tbl>
      <w:tblPr>
        <w:tblStyle w:val="Tabellrutenett"/>
        <w:tblW w:w="0" w:type="auto"/>
        <w:tblLook w:val="04A0" w:firstRow="1" w:lastRow="0" w:firstColumn="1" w:lastColumn="0" w:noHBand="0" w:noVBand="1"/>
      </w:tblPr>
      <w:tblGrid>
        <w:gridCol w:w="2023"/>
        <w:gridCol w:w="2023"/>
        <w:gridCol w:w="2024"/>
        <w:gridCol w:w="2024"/>
        <w:gridCol w:w="2024"/>
      </w:tblGrid>
      <w:tr w:rsidR="00E2271A" w:rsidTr="00E2271A">
        <w:tc>
          <w:tcPr>
            <w:tcW w:w="2023" w:type="dxa"/>
          </w:tcPr>
          <w:p w:rsidR="00E2271A" w:rsidRDefault="00E2271A" w:rsidP="008018EE">
            <w:pPr>
              <w:spacing w:line="276" w:lineRule="auto"/>
            </w:pPr>
            <w:r>
              <w:t>Item</w:t>
            </w:r>
          </w:p>
        </w:tc>
        <w:tc>
          <w:tcPr>
            <w:tcW w:w="2023" w:type="dxa"/>
          </w:tcPr>
          <w:p w:rsidR="00E2271A" w:rsidRDefault="00E2271A" w:rsidP="008018EE">
            <w:pPr>
              <w:spacing w:line="276" w:lineRule="auto"/>
            </w:pPr>
            <w:r>
              <w:t>Analyseform</w:t>
            </w:r>
          </w:p>
        </w:tc>
        <w:tc>
          <w:tcPr>
            <w:tcW w:w="2024" w:type="dxa"/>
          </w:tcPr>
          <w:p w:rsidR="00E2271A" w:rsidRDefault="00E2271A" w:rsidP="008018EE">
            <w:pPr>
              <w:spacing w:line="276" w:lineRule="auto"/>
            </w:pPr>
            <w:r>
              <w:t>Analysemetode</w:t>
            </w:r>
          </w:p>
        </w:tc>
        <w:tc>
          <w:tcPr>
            <w:tcW w:w="2024" w:type="dxa"/>
          </w:tcPr>
          <w:p w:rsidR="00E2271A" w:rsidRDefault="00E2271A" w:rsidP="008018EE">
            <w:pPr>
              <w:spacing w:line="276" w:lineRule="auto"/>
            </w:pPr>
            <w:r>
              <w:t>Verdier</w:t>
            </w:r>
          </w:p>
        </w:tc>
        <w:tc>
          <w:tcPr>
            <w:tcW w:w="2024" w:type="dxa"/>
          </w:tcPr>
          <w:p w:rsidR="00E2271A" w:rsidRDefault="00E2271A" w:rsidP="008018EE">
            <w:pPr>
              <w:spacing w:line="276" w:lineRule="auto"/>
            </w:pPr>
            <w:r>
              <w:t>Signifikans</w:t>
            </w:r>
          </w:p>
        </w:tc>
      </w:tr>
      <w:tr w:rsidR="00E2271A" w:rsidTr="00E2271A">
        <w:tc>
          <w:tcPr>
            <w:tcW w:w="2023" w:type="dxa"/>
          </w:tcPr>
          <w:p w:rsidR="008D1A63" w:rsidRDefault="008D1A63" w:rsidP="008018EE">
            <w:pPr>
              <w:spacing w:line="276" w:lineRule="auto"/>
            </w:pPr>
            <w:r>
              <w:t>Item 3 – 6</w:t>
            </w:r>
          </w:p>
        </w:tc>
        <w:tc>
          <w:tcPr>
            <w:tcW w:w="2023" w:type="dxa"/>
          </w:tcPr>
          <w:p w:rsidR="00E2271A" w:rsidRDefault="008D1A63" w:rsidP="008018EE">
            <w:pPr>
              <w:spacing w:line="276" w:lineRule="auto"/>
            </w:pPr>
            <w:r>
              <w:t>Ordinalanalyse</w:t>
            </w:r>
          </w:p>
        </w:tc>
        <w:tc>
          <w:tcPr>
            <w:tcW w:w="2024" w:type="dxa"/>
          </w:tcPr>
          <w:p w:rsidR="00E2271A" w:rsidRDefault="008D1A63" w:rsidP="008018EE">
            <w:pPr>
              <w:spacing w:line="276" w:lineRule="auto"/>
            </w:pPr>
            <w:r>
              <w:t>Spearsman’s rho</w:t>
            </w:r>
          </w:p>
        </w:tc>
        <w:tc>
          <w:tcPr>
            <w:tcW w:w="2024" w:type="dxa"/>
          </w:tcPr>
          <w:p w:rsidR="00E2271A" w:rsidRDefault="008D1A63" w:rsidP="008018EE">
            <w:pPr>
              <w:spacing w:line="276" w:lineRule="auto"/>
            </w:pPr>
            <w:r>
              <w:t>.140</w:t>
            </w:r>
          </w:p>
        </w:tc>
        <w:tc>
          <w:tcPr>
            <w:tcW w:w="2024" w:type="dxa"/>
          </w:tcPr>
          <w:p w:rsidR="00E2271A" w:rsidRDefault="008D1A63" w:rsidP="008018EE">
            <w:pPr>
              <w:spacing w:line="276" w:lineRule="auto"/>
            </w:pPr>
            <w:r>
              <w:t>.139</w:t>
            </w:r>
          </w:p>
        </w:tc>
      </w:tr>
      <w:tr w:rsidR="00E2271A" w:rsidTr="00E2271A">
        <w:tc>
          <w:tcPr>
            <w:tcW w:w="2023" w:type="dxa"/>
          </w:tcPr>
          <w:p w:rsidR="00E2271A" w:rsidRDefault="008D1A63" w:rsidP="008018EE">
            <w:pPr>
              <w:spacing w:line="276" w:lineRule="auto"/>
            </w:pPr>
            <w:r>
              <w:t xml:space="preserve">Item 3 – 7 </w:t>
            </w:r>
          </w:p>
        </w:tc>
        <w:tc>
          <w:tcPr>
            <w:tcW w:w="2023" w:type="dxa"/>
          </w:tcPr>
          <w:p w:rsidR="00E2271A" w:rsidRDefault="008D1A63" w:rsidP="008018EE">
            <w:pPr>
              <w:spacing w:line="276" w:lineRule="auto"/>
            </w:pPr>
            <w:r>
              <w:t>Ordinalanalyse</w:t>
            </w:r>
          </w:p>
        </w:tc>
        <w:tc>
          <w:tcPr>
            <w:tcW w:w="2024" w:type="dxa"/>
          </w:tcPr>
          <w:p w:rsidR="00E2271A" w:rsidRDefault="008D1A63" w:rsidP="008018EE">
            <w:pPr>
              <w:spacing w:line="276" w:lineRule="auto"/>
            </w:pPr>
            <w:r>
              <w:t>Spearsman’s rho</w:t>
            </w:r>
          </w:p>
        </w:tc>
        <w:tc>
          <w:tcPr>
            <w:tcW w:w="2024" w:type="dxa"/>
          </w:tcPr>
          <w:p w:rsidR="00E2271A" w:rsidRDefault="008D1A63" w:rsidP="008018EE">
            <w:pPr>
              <w:spacing w:line="276" w:lineRule="auto"/>
            </w:pPr>
            <w:r>
              <w:t>.061</w:t>
            </w:r>
          </w:p>
        </w:tc>
        <w:tc>
          <w:tcPr>
            <w:tcW w:w="2024" w:type="dxa"/>
          </w:tcPr>
          <w:p w:rsidR="00E2271A" w:rsidRDefault="008D1A63" w:rsidP="008018EE">
            <w:pPr>
              <w:spacing w:line="276" w:lineRule="auto"/>
            </w:pPr>
            <w:r>
              <w:t>.509</w:t>
            </w:r>
          </w:p>
        </w:tc>
      </w:tr>
    </w:tbl>
    <w:p w:rsidR="00E2271A" w:rsidRPr="008A2960" w:rsidRDefault="000A528A" w:rsidP="008018EE">
      <w:pPr>
        <w:spacing w:line="276" w:lineRule="auto"/>
        <w:rPr>
          <w:sz w:val="20"/>
          <w:szCs w:val="20"/>
        </w:rPr>
      </w:pPr>
      <w:r>
        <w:t>Figur</w:t>
      </w:r>
      <w:r w:rsidR="008D1A63">
        <w:t xml:space="preserve"> 7.</w:t>
      </w:r>
      <w:r w:rsidR="008A2960">
        <w:tab/>
      </w:r>
      <w:r w:rsidR="00D609BB">
        <w:rPr>
          <w:sz w:val="20"/>
          <w:szCs w:val="20"/>
        </w:rPr>
        <w:t>Resultater fra korrelasjonsanalyse</w:t>
      </w:r>
    </w:p>
    <w:p w:rsidR="008D1A63" w:rsidRDefault="008D1A63" w:rsidP="008018EE">
      <w:pPr>
        <w:spacing w:line="276" w:lineRule="auto"/>
      </w:pPr>
    </w:p>
    <w:p w:rsidR="008018EE" w:rsidRDefault="008018EE" w:rsidP="008018EE">
      <w:pPr>
        <w:autoSpaceDE w:val="0"/>
        <w:autoSpaceDN w:val="0"/>
        <w:adjustRightInd w:val="0"/>
        <w:spacing w:line="276" w:lineRule="auto"/>
      </w:pPr>
      <w:r>
        <w:t>P</w:t>
      </w:r>
      <w:r w:rsidR="00E2271A">
        <w:t>hi- o</w:t>
      </w:r>
      <w:r w:rsidR="000A528A">
        <w:t>g Crameranalysen i figur</w:t>
      </w:r>
      <w:r w:rsidR="008D1A63">
        <w:t xml:space="preserve"> 7</w:t>
      </w:r>
      <w:r w:rsidR="00E2271A">
        <w:t xml:space="preserve"> indikerer </w:t>
      </w:r>
      <w:r w:rsidR="008D1A63">
        <w:t xml:space="preserve">at det er </w:t>
      </w:r>
      <w:r w:rsidR="00D609BB">
        <w:t xml:space="preserve">svært svak eller ingen samvariasjon (.140 og .061) </w:t>
      </w:r>
      <w:r>
        <w:t>mellom hvilke utdanning studentene har gjennomført og deres</w:t>
      </w:r>
      <w:r w:rsidR="008D1A63">
        <w:t xml:space="preserve"> </w:t>
      </w:r>
      <w:r>
        <w:t>mestringsf</w:t>
      </w:r>
      <w:r w:rsidR="008A2960">
        <w:t>orventning og</w:t>
      </w:r>
      <w:r w:rsidR="008D1A63">
        <w:t xml:space="preserve"> </w:t>
      </w:r>
      <w:r>
        <w:t>opplevelse av om utdanningen har forberedt dem go</w:t>
      </w:r>
      <w:r w:rsidR="00D609BB">
        <w:t>dt til å organisere en meningsfu</w:t>
      </w:r>
      <w:r>
        <w:t xml:space="preserve">ll yrkesopplæring for elever med ulike yrkesinteresser. </w:t>
      </w:r>
      <w:r w:rsidR="008D1A63">
        <w:t>D</w:t>
      </w:r>
      <w:r>
        <w:t xml:space="preserve">enne sammenhengen ikke imidlertid ikke signifikant på </w:t>
      </w:r>
      <w:r w:rsidR="00E2271A">
        <w:t xml:space="preserve">verken </w:t>
      </w:r>
      <w:r w:rsidR="00D609BB">
        <w:t>et .05 eller .01-nivå.</w:t>
      </w:r>
    </w:p>
    <w:p w:rsidR="008A2960" w:rsidRDefault="008A2960" w:rsidP="008018EE">
      <w:pPr>
        <w:autoSpaceDE w:val="0"/>
        <w:autoSpaceDN w:val="0"/>
        <w:adjustRightInd w:val="0"/>
        <w:spacing w:line="276" w:lineRule="auto"/>
      </w:pPr>
    </w:p>
    <w:p w:rsidR="008018EE" w:rsidRDefault="00D609BB" w:rsidP="008018EE">
      <w:pPr>
        <w:autoSpaceDE w:val="0"/>
        <w:autoSpaceDN w:val="0"/>
        <w:adjustRightInd w:val="0"/>
        <w:spacing w:line="276" w:lineRule="auto"/>
      </w:pPr>
      <w:r>
        <w:t>Oppsummert</w:t>
      </w:r>
      <w:r w:rsidR="008018EE">
        <w:t xml:space="preserve"> viser resu</w:t>
      </w:r>
      <w:r>
        <w:t xml:space="preserve">ltatene fra </w:t>
      </w:r>
      <w:r w:rsidR="008018EE">
        <w:t>Spearman’s rho korre</w:t>
      </w:r>
      <w:r>
        <w:t>lasjonsanalysen</w:t>
      </w:r>
      <w:r w:rsidR="008A2960">
        <w:t xml:space="preserve"> at det</w:t>
      </w:r>
      <w:r>
        <w:t xml:space="preserve"> er svært liten eller ingen</w:t>
      </w:r>
      <w:r w:rsidR="008A2960">
        <w:t xml:space="preserve"> kan være samvariasjon</w:t>
      </w:r>
      <w:r w:rsidR="008018EE">
        <w:t xml:space="preserve"> mellom itemene</w:t>
      </w:r>
      <w:r>
        <w:t>, men at dette resultatet</w:t>
      </w:r>
      <w:r w:rsidR="008A2960">
        <w:t xml:space="preserve"> ikke er signifikant</w:t>
      </w:r>
      <w:r w:rsidR="00DE465B">
        <w:t xml:space="preserve"> på verken et</w:t>
      </w:r>
      <w:r w:rsidR="002B684D">
        <w:t xml:space="preserve"> </w:t>
      </w:r>
      <w:r w:rsidR="00DE465B">
        <w:t xml:space="preserve">.01 eller .05 </w:t>
      </w:r>
      <w:r w:rsidR="008018EE">
        <w:t>nivå.</w:t>
      </w:r>
      <w:r w:rsidR="008018EE" w:rsidRPr="007D0891">
        <w:t xml:space="preserve"> </w:t>
      </w:r>
    </w:p>
    <w:p w:rsidR="008018EE" w:rsidRPr="003238F4" w:rsidRDefault="008018EE" w:rsidP="008018EE">
      <w:pPr>
        <w:pStyle w:val="Overskrift1"/>
        <w:spacing w:line="276" w:lineRule="auto"/>
        <w:rPr>
          <w:sz w:val="32"/>
          <w:szCs w:val="32"/>
        </w:rPr>
      </w:pPr>
      <w:r w:rsidRPr="003238F4">
        <w:rPr>
          <w:sz w:val="32"/>
          <w:szCs w:val="32"/>
        </w:rPr>
        <w:t xml:space="preserve">Oppsummering og kommentarer til resultatene. </w:t>
      </w:r>
    </w:p>
    <w:p w:rsidR="008018EE" w:rsidRDefault="008018EE" w:rsidP="008018EE">
      <w:pPr>
        <w:spacing w:line="276" w:lineRule="auto"/>
      </w:pPr>
      <w:r>
        <w:t xml:space="preserve">Resultatet av analysene viser at avgangsstudentene i YFL og PPU uttrykker en høy grad av mestringsforventning </w:t>
      </w:r>
      <w:r w:rsidR="008A2960">
        <w:t>i forhold til å kunne organisere en meningsfull yrkesopplæring for elever med ulike yrkesinteresser. S</w:t>
      </w:r>
      <w:r>
        <w:t xml:space="preserve">amtidig opplever </w:t>
      </w:r>
      <w:r w:rsidR="008A2960">
        <w:t xml:space="preserve">de </w:t>
      </w:r>
      <w:r>
        <w:t xml:space="preserve">at PPU og yrkesfaglærerutdanningene har forberedt dem </w:t>
      </w:r>
      <w:r w:rsidR="002B684D">
        <w:t xml:space="preserve">relativt </w:t>
      </w:r>
      <w:r>
        <w:t xml:space="preserve">godt til </w:t>
      </w:r>
      <w:r w:rsidR="008A2960">
        <w:t xml:space="preserve">dette arbeidet. </w:t>
      </w:r>
      <w:r>
        <w:t xml:space="preserve"> Selv om det er noe variasjon mellom utdanningene så </w:t>
      </w:r>
      <w:r w:rsidR="00D609BB">
        <w:t>viser resultatene ingen signifikant</w:t>
      </w:r>
      <w:r>
        <w:t xml:space="preserve"> sammenheng mellom hvilke utdanning studentene deltar i og deres opplevelse av mestringsforventning eller om utdanningen har forberedt dem godt til å organisere en meningsfull yrkesopplæring for elever med ulike yrkesinteresser. Spørsmålet er imidlertid om disse resultatene er pålitelige og representative for avgangsstudentene ved YFL og PPU-y ved </w:t>
      </w:r>
      <w:r w:rsidR="000A528A">
        <w:t>HiOA</w:t>
      </w:r>
      <w:r w:rsidR="002B684D">
        <w:t>? Er</w:t>
      </w:r>
      <w:r>
        <w:t xml:space="preserve"> begreps</w:t>
      </w:r>
      <w:r w:rsidR="002B684D">
        <w:t>validiteten</w:t>
      </w:r>
      <w:r>
        <w:t xml:space="preserve"> og </w:t>
      </w:r>
      <w:r w:rsidR="002B684D">
        <w:t>den ytre validiteten</w:t>
      </w:r>
      <w:r>
        <w:t xml:space="preserve"> tilfredsstillende?</w:t>
      </w:r>
    </w:p>
    <w:p w:rsidR="008018EE" w:rsidRDefault="008018EE" w:rsidP="008018EE">
      <w:pPr>
        <w:spacing w:line="276" w:lineRule="auto"/>
      </w:pPr>
    </w:p>
    <w:p w:rsidR="008018EE" w:rsidRPr="003238F4" w:rsidRDefault="008018EE" w:rsidP="008018EE">
      <w:pPr>
        <w:pStyle w:val="Undertittel"/>
        <w:rPr>
          <w:rStyle w:val="Sterkutheving"/>
          <w:sz w:val="28"/>
          <w:szCs w:val="28"/>
        </w:rPr>
      </w:pPr>
      <w:r w:rsidRPr="003238F4">
        <w:rPr>
          <w:rStyle w:val="Sterkutheving"/>
          <w:sz w:val="28"/>
          <w:szCs w:val="28"/>
        </w:rPr>
        <w:t>Begrepsvaliditet</w:t>
      </w:r>
    </w:p>
    <w:p w:rsidR="008018EE" w:rsidRDefault="008018EE" w:rsidP="008018EE">
      <w:pPr>
        <w:spacing w:line="276" w:lineRule="auto"/>
      </w:pPr>
      <w:r>
        <w:t xml:space="preserve">Begrepsvaliditeten handler om at vi måler det vi ønsker å måle </w:t>
      </w:r>
      <w:r>
        <w:fldChar w:fldCharType="begin">
          <w:fldData xml:space="preserve">PEVuZE5vdGU+PENpdGU+PEF1dGhvcj5SaW5nZGFsPC9BdXRob3I+PFllYXI+MjAwOTwvWWVhcj48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</w:fldData>
        </w:fldChar>
      </w:r>
      <w:r>
        <w:instrText xml:space="preserve"> ADDIN EN.CITE </w:instrText>
      </w:r>
      <w:r>
        <w:fldChar w:fldCharType="begin">
          <w:fldData xml:space="preserve">PEVuZE5vdGU+PENpdGU+PEF1dGhvcj5SaW5nZGFsPC9BdXRob3I+PFllYXI+MjAwOTwvWWVhcj48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</w:fldData>
        </w:fldChar>
      </w:r>
      <w:r>
        <w:instrText xml:space="preserve"> ADDIN EN.CITE.DATA </w:instrText>
      </w:r>
      <w:r>
        <w:fldChar w:fldCharType="end"/>
      </w:r>
      <w:r>
        <w:fldChar w:fldCharType="separate"/>
      </w:r>
      <w:r>
        <w:rPr>
          <w:noProof/>
        </w:rPr>
        <w:t>(</w:t>
      </w:r>
      <w:hyperlink w:anchor="_ENREF_8" w:tooltip="Ringdal, 2009 #292" w:history="1">
        <w:r>
          <w:rPr>
            <w:noProof/>
          </w:rPr>
          <w:t>Ringdal, 2009</w:t>
        </w:r>
      </w:hyperlink>
      <w:r>
        <w:rPr>
          <w:noProof/>
        </w:rPr>
        <w:t>)</w:t>
      </w:r>
      <w:r>
        <w:fldChar w:fldCharType="end"/>
      </w:r>
      <w:r>
        <w:t xml:space="preserve">. </w:t>
      </w:r>
      <w:r w:rsidRPr="00A051CB">
        <w:t xml:space="preserve">Sentralt i denne </w:t>
      </w:r>
      <w:r>
        <w:t>formen for validitet at mange begreper er abstrakte, noe som gjør at de må operasjonaliseres på en slik måte at undersøkelsens item entydig måler det ønskede begrepet, og ikke andre og kanskje liknende begrep.</w:t>
      </w:r>
    </w:p>
    <w:p w:rsidR="008018EE" w:rsidRDefault="008018EE" w:rsidP="008018EE">
      <w:pPr>
        <w:spacing w:line="276" w:lineRule="auto"/>
      </w:pPr>
    </w:p>
    <w:p w:rsidR="00D609BB" w:rsidRDefault="008018EE" w:rsidP="008018EE">
      <w:pPr>
        <w:spacing w:line="276" w:lineRule="auto"/>
      </w:pPr>
      <w:r>
        <w:t xml:space="preserve">I denne </w:t>
      </w:r>
      <w:r w:rsidRPr="00A051CB">
        <w:t xml:space="preserve">undersøkelsen </w:t>
      </w:r>
      <w:r>
        <w:t xml:space="preserve">er det å kunne ”organisere en meningsfull yrkesopplæring for elever med ulike yrkesinteresser” operasjonalisert til bare ett item. Spørsmålet er om </w:t>
      </w:r>
      <w:r w:rsidRPr="00915CF5">
        <w:rPr>
          <w:i/>
        </w:rPr>
        <w:t>ett</w:t>
      </w:r>
      <w:r>
        <w:t xml:space="preserve"> item er nok til å fange dette konseptet og også i hvilken grad studentene forstår dette itemet på samme måte? Om studentenes oppfatning av ”meningsfull yrkesopplæring for elever med ulike yrkesinteresser” stemmer overens med arbeidsformene i modellen til Sund (2005) er langt fra sikkert. Det er derfor en risiko for at resultatene like gjerne kan vise studentenes innstilling til dett</w:t>
      </w:r>
      <w:r w:rsidR="008A2960">
        <w:t>e temaet, som til deres konkrete forventning om å kunne mestre en</w:t>
      </w:r>
      <w:r>
        <w:t xml:space="preserve"> interessedifferensiert og yrkesforankret opplæring. </w:t>
      </w:r>
      <w:r w:rsidR="008549B5">
        <w:t xml:space="preserve">Uten at dette spørsmålet er </w:t>
      </w:r>
      <w:r w:rsidR="008549B5">
        <w:lastRenderedPageBreak/>
        <w:t>undersøkt nærmere er det likevel tankevekkende at studentene i YFL RM-fag opple</w:t>
      </w:r>
      <w:r w:rsidR="00D609BB">
        <w:t>ver lavest grad av mestring siden</w:t>
      </w:r>
      <w:r w:rsidR="008549B5">
        <w:t xml:space="preserve"> studentene hadde jobbet med temaet interessedifferensiert yrkesforankring som læringsmetode rett i forkant av undersøkelsen. </w:t>
      </w:r>
      <w:r w:rsidR="00D609BB">
        <w:t xml:space="preserve">Kan de være mer realitetsorienterte? </w:t>
      </w:r>
      <w:r w:rsidR="008549B5">
        <w:t>Kan det være slik at resultatene speiler en mer generell form f</w:t>
      </w:r>
      <w:r w:rsidR="00D609BB">
        <w:t>or undervisningstrygghet enn det</w:t>
      </w:r>
      <w:r w:rsidR="008549B5">
        <w:t xml:space="preserve"> å lede en interessedifferensiert og yrkesforankret opplæring spesielt? </w:t>
      </w:r>
    </w:p>
    <w:p w:rsidR="00D609BB" w:rsidRDefault="00D609BB" w:rsidP="008018EE">
      <w:pPr>
        <w:spacing w:line="276" w:lineRule="auto"/>
      </w:pPr>
    </w:p>
    <w:p w:rsidR="008018EE" w:rsidRDefault="008549B5" w:rsidP="008018EE">
      <w:pPr>
        <w:spacing w:line="276" w:lineRule="auto"/>
      </w:pPr>
      <w:r>
        <w:t>At det å lede opplæring i flerfaglige utdanningsprogrammer i vgs</w:t>
      </w:r>
      <w:r w:rsidR="008018EE">
        <w:t xml:space="preserve"> har vært tatt opp og behandlet gjennom alle utdannin</w:t>
      </w:r>
      <w:r>
        <w:t>gene gir likevel en viss</w:t>
      </w:r>
      <w:r w:rsidR="008018EE">
        <w:t xml:space="preserve"> trygghet for at resultatene</w:t>
      </w:r>
      <w:r w:rsidR="00D609BB">
        <w:t xml:space="preserve"> avspeiler studentene mestringsforventning knyttet til det å organisere en</w:t>
      </w:r>
      <w:r w:rsidR="008018EE">
        <w:t xml:space="preserve"> meningsfull yrkesopplæring for elever med ulike yrkesinteresser.</w:t>
      </w:r>
    </w:p>
    <w:p w:rsidR="008018EE" w:rsidRDefault="008018EE" w:rsidP="008018EE">
      <w:pPr>
        <w:spacing w:line="276" w:lineRule="auto"/>
      </w:pPr>
    </w:p>
    <w:p w:rsidR="008018EE" w:rsidRPr="003238F4" w:rsidRDefault="008018EE" w:rsidP="008018EE">
      <w:pPr>
        <w:pStyle w:val="Undertittel"/>
        <w:rPr>
          <w:rStyle w:val="Sterkutheving"/>
          <w:sz w:val="28"/>
          <w:szCs w:val="28"/>
        </w:rPr>
      </w:pPr>
      <w:r w:rsidRPr="003238F4">
        <w:rPr>
          <w:rStyle w:val="Sterkutheving"/>
          <w:sz w:val="28"/>
          <w:szCs w:val="28"/>
        </w:rPr>
        <w:t>Ytre validitet</w:t>
      </w:r>
    </w:p>
    <w:p w:rsidR="008549B5" w:rsidRDefault="008018EE" w:rsidP="008018EE">
      <w:pPr>
        <w:spacing w:line="276" w:lineRule="auto"/>
      </w:pPr>
      <w:r w:rsidRPr="00544EDF">
        <w:t>Ytre validitet går på om resultatene fra</w:t>
      </w:r>
      <w:r>
        <w:t xml:space="preserve"> en undersøkelse kan generaliseres ut over utvalget som deltok i undersøkelsen </w:t>
      </w:r>
      <w:r>
        <w:fldChar w:fldCharType="begin">
          <w:fldData xml:space="preserve">PEVuZE5vdGU+PENpdGU+PEF1dGhvcj5SaW5nZGFsPC9BdXRob3I+PFllYXI+MjAwOTwvWWVhcj48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</w:fldData>
        </w:fldChar>
      </w:r>
      <w:r>
        <w:instrText xml:space="preserve"> ADDIN EN.CITE </w:instrText>
      </w:r>
      <w:r>
        <w:fldChar w:fldCharType="begin">
          <w:fldData xml:space="preserve">PEVuZE5vdGU+PENpdGU+PEF1dGhvcj5SaW5nZGFsPC9BdXRob3I+PFllYXI+MjAwOTwvWWVhcj48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</w:fldData>
        </w:fldChar>
      </w:r>
      <w:r>
        <w:instrText xml:space="preserve"> ADDIN EN.CITE.DATA </w:instrText>
      </w:r>
      <w:r>
        <w:fldChar w:fldCharType="end"/>
      </w:r>
      <w:r>
        <w:fldChar w:fldCharType="separate"/>
      </w:r>
      <w:r>
        <w:rPr>
          <w:noProof/>
        </w:rPr>
        <w:t>(</w:t>
      </w:r>
      <w:hyperlink w:anchor="_ENREF_8" w:tooltip="Ringdal, 2009 #292" w:history="1">
        <w:r>
          <w:rPr>
            <w:noProof/>
          </w:rPr>
          <w:t>Ringdal, 2009</w:t>
        </w:r>
      </w:hyperlink>
      <w:r>
        <w:rPr>
          <w:noProof/>
        </w:rPr>
        <w:t>)</w:t>
      </w:r>
      <w:r>
        <w:fldChar w:fldCharType="end"/>
      </w:r>
      <w:r>
        <w:t>. Knyttet til dette spørsmålet ligger særlig utfordringer rundt utvalgs</w:t>
      </w:r>
      <w:r w:rsidR="008F4862">
        <w:t>s</w:t>
      </w:r>
      <w:r>
        <w:t xml:space="preserve">trategier og manglende svar. Siden denne undersøkelsen må oppfattes som </w:t>
      </w:r>
      <w:r w:rsidR="00D609BB">
        <w:t>avgrenset</w:t>
      </w:r>
      <w:r>
        <w:t xml:space="preserve"> så tar ikke resultatene sikte på å være representativ for andre enn avgangsstudentene ved PPU og YFL våren 2011. Utvalg og utvalgsstrategier er derfor ikke den største faren for den ytre validite</w:t>
      </w:r>
      <w:r w:rsidR="008549B5">
        <w:t>ten, men</w:t>
      </w:r>
      <w:r>
        <w:t xml:space="preserve"> manglende svar på undersøkelsen</w:t>
      </w:r>
      <w:r w:rsidR="008549B5">
        <w:t xml:space="preserve"> kan true hele verdien av resultatene</w:t>
      </w:r>
      <w:r>
        <w:t>.</w:t>
      </w:r>
    </w:p>
    <w:p w:rsidR="008549B5" w:rsidRDefault="008549B5" w:rsidP="008018EE">
      <w:pPr>
        <w:spacing w:line="276" w:lineRule="auto"/>
      </w:pPr>
    </w:p>
    <w:p w:rsidR="008018EE" w:rsidRDefault="008018EE" w:rsidP="008018EE">
      <w:pPr>
        <w:spacing w:line="276" w:lineRule="auto"/>
      </w:pPr>
      <w:r>
        <w:t>Som tidligere beskrevet er svarprosenten på 44, 5 %</w:t>
      </w:r>
      <w:r w:rsidR="00C409DC">
        <w:t>, noe som ikke kan sies å være tilfredsstillende.  Spørsmålet er om svarene fra de resterende 55,5</w:t>
      </w:r>
      <w:r>
        <w:t xml:space="preserve"> % av studentene ville fordelt seg på samme måte som dem som har svart, eller om det er systematiske skjevheter, er derfor avgjørende for resultatets pålitelighet.</w:t>
      </w:r>
      <w:r w:rsidR="00C409DC">
        <w:t xml:space="preserve"> </w:t>
      </w:r>
    </w:p>
    <w:p w:rsidR="008018EE" w:rsidRDefault="008018EE" w:rsidP="008018EE">
      <w:pPr>
        <w:spacing w:line="276" w:lineRule="auto"/>
      </w:pPr>
    </w:p>
    <w:p w:rsidR="00C409DC" w:rsidRDefault="008018EE" w:rsidP="008018EE">
      <w:pPr>
        <w:spacing w:line="276" w:lineRule="auto"/>
      </w:pPr>
      <w:r>
        <w:t xml:space="preserve">Årsaken til at mange studenter ikke besvarte undersøkelsen er ikke undersøkt systematisk, men gjennom samtaler med studenter om denne problematikken kom det frem </w:t>
      </w:r>
      <w:r w:rsidR="00C409DC">
        <w:t xml:space="preserve">to potensielle årsaker til den lave svarprosenten. Den første potensielle årsaken er </w:t>
      </w:r>
      <w:r>
        <w:t xml:space="preserve">at mange </w:t>
      </w:r>
      <w:r w:rsidR="00C409DC">
        <w:t>studenter er</w:t>
      </w:r>
      <w:r>
        <w:t xml:space="preserve"> lei av </w:t>
      </w:r>
      <w:r w:rsidR="00C409DC">
        <w:t xml:space="preserve">stadige </w:t>
      </w:r>
      <w:r>
        <w:t xml:space="preserve">e-postundersøkelser </w:t>
      </w:r>
      <w:r w:rsidR="00C409DC">
        <w:t>som ikke alltid oppleves som like relevante for studentenes liv og studiesituasjon. Den andre potensielle årsaken er</w:t>
      </w:r>
      <w:r>
        <w:t xml:space="preserve"> at mange</w:t>
      </w:r>
      <w:r w:rsidR="00C409DC">
        <w:t xml:space="preserve"> av avgangsstudentene</w:t>
      </w:r>
      <w:r>
        <w:t xml:space="preserve"> ikke har planer</w:t>
      </w:r>
      <w:r w:rsidR="00C409DC">
        <w:t xml:space="preserve"> om å arbeide som yrkesfaglærer i videregående skole.</w:t>
      </w:r>
      <w:r>
        <w:t xml:space="preserve"> For disse oppleves derfor temaet i undersøkelsen som </w:t>
      </w:r>
      <w:r w:rsidR="00C409DC">
        <w:t>ikke spesielt aktuelt</w:t>
      </w:r>
      <w:r>
        <w:t xml:space="preserve">. </w:t>
      </w:r>
    </w:p>
    <w:p w:rsidR="00C409DC" w:rsidRDefault="00C409DC" w:rsidP="008018EE">
      <w:pPr>
        <w:spacing w:line="276" w:lineRule="auto"/>
      </w:pPr>
    </w:p>
    <w:p w:rsidR="008018EE" w:rsidRDefault="002B684D" w:rsidP="008018EE">
      <w:pPr>
        <w:spacing w:line="276" w:lineRule="auto"/>
      </w:pPr>
      <w:r>
        <w:t xml:space="preserve">I ettertid er det </w:t>
      </w:r>
      <w:r w:rsidR="00C409DC">
        <w:t xml:space="preserve">imidlertid lite å gjøre med svarprosenten. </w:t>
      </w:r>
      <w:r w:rsidR="008018EE">
        <w:t xml:space="preserve">Selv om det hadde vært ønskelig med høyere svarprosent, så mener jeg likevel at resultatet </w:t>
      </w:r>
      <w:r w:rsidR="008018EE" w:rsidRPr="00F31294">
        <w:rPr>
          <w:i/>
        </w:rPr>
        <w:t>indikerer</w:t>
      </w:r>
      <w:r w:rsidR="008018EE">
        <w:t xml:space="preserve"> en oppfatning til </w:t>
      </w:r>
      <w:r w:rsidR="00E2366B">
        <w:t>avgangsstudentene ved HiOA</w:t>
      </w:r>
      <w:r w:rsidR="00C409DC">
        <w:t xml:space="preserve"> siden</w:t>
      </w:r>
      <w:r w:rsidR="008018EE">
        <w:t xml:space="preserve"> undersøkelsen tross alt omfatter 44, 5</w:t>
      </w:r>
      <w:r w:rsidR="00C409DC">
        <w:t xml:space="preserve"> % av den ønskede populasjonen.</w:t>
      </w:r>
    </w:p>
    <w:p w:rsidR="008018EE" w:rsidRPr="003238F4" w:rsidRDefault="008018EE" w:rsidP="008018EE">
      <w:pPr>
        <w:pStyle w:val="Overskrift1"/>
        <w:rPr>
          <w:rStyle w:val="Sterkutheving"/>
          <w:sz w:val="32"/>
          <w:szCs w:val="32"/>
        </w:rPr>
      </w:pPr>
      <w:r w:rsidRPr="003238F4">
        <w:rPr>
          <w:rStyle w:val="Sterkutheving"/>
          <w:sz w:val="32"/>
          <w:szCs w:val="32"/>
        </w:rPr>
        <w:t>Konklusjon</w:t>
      </w:r>
    </w:p>
    <w:p w:rsidR="008018EE" w:rsidRDefault="008018EE" w:rsidP="008018EE">
      <w:pPr>
        <w:spacing w:line="276" w:lineRule="auto"/>
      </w:pPr>
      <w:r>
        <w:t xml:space="preserve">Målet med denne undersøkelsen var å besvare problemformuleringen: </w:t>
      </w:r>
      <w:r w:rsidRPr="00490CE0">
        <w:t xml:space="preserve">Er det en </w:t>
      </w:r>
      <w:r>
        <w:t xml:space="preserve">statistisk </w:t>
      </w:r>
      <w:r w:rsidRPr="00490CE0">
        <w:t>sammenheng mellom studentenes mestringsforventning i forhold til å kunne organisere en meningsfull yrkesopplæring for elever med ulike yrke</w:t>
      </w:r>
      <w:r>
        <w:t>sinteresser og den utdanningen de har gjennomført</w:t>
      </w:r>
      <w:r w:rsidR="00E2366B">
        <w:t xml:space="preserve"> ved Institutt</w:t>
      </w:r>
      <w:r w:rsidRPr="00490CE0">
        <w:t xml:space="preserve"> for yrkesfaglærerutdanning, Høgskolen i </w:t>
      </w:r>
      <w:r w:rsidR="00E2366B">
        <w:t xml:space="preserve">Oslo og </w:t>
      </w:r>
      <w:r w:rsidRPr="00490CE0">
        <w:t>Akershus?</w:t>
      </w:r>
      <w:r>
        <w:t xml:space="preserve"> Svaret på denne problemformuleringen må bli nei, men undersøkelsen har likevel gitt et interessant bilde av studentenes mestringsforventning og opplevelse av om den utdanningen de har gjennomført har forberedt dem godt til å organisere en meningsfull opplæring for elever med ulike yrkesinteresser. </w:t>
      </w:r>
    </w:p>
    <w:p w:rsidR="008018EE" w:rsidRDefault="008018EE" w:rsidP="008018EE">
      <w:pPr>
        <w:spacing w:line="276" w:lineRule="auto"/>
      </w:pPr>
    </w:p>
    <w:p w:rsidR="008018EE" w:rsidRDefault="008018EE" w:rsidP="008018EE">
      <w:pPr>
        <w:spacing w:line="276" w:lineRule="auto"/>
      </w:pPr>
      <w:r>
        <w:t>Undersøkelsen viser at avgangsstud</w:t>
      </w:r>
      <w:r w:rsidR="00E2366B">
        <w:t>entene ved PPU-y og YFL ved HiOA</w:t>
      </w:r>
      <w:r>
        <w:t xml:space="preserve"> opplever høy mestringsforventning i forhold til å kunne organisere en meningsfull yrkesopplæring for elever med ulike yrkesinteresser. De opplev</w:t>
      </w:r>
      <w:r w:rsidR="008F4862">
        <w:t>er også at utdanningene ved HiOA</w:t>
      </w:r>
      <w:r>
        <w:t xml:space="preserve"> har forberedt dem godt til dette arbeidet. Til tross for en</w:t>
      </w:r>
      <w:r w:rsidR="00E2366B">
        <w:t>kelte forskjeller utdanningene</w:t>
      </w:r>
      <w:r>
        <w:t xml:space="preserve"> mellom, kan analysen</w:t>
      </w:r>
      <w:r w:rsidR="002B684D">
        <w:t>e</w:t>
      </w:r>
      <w:r>
        <w:t xml:space="preserve"> v</w:t>
      </w:r>
      <w:r w:rsidR="002B684D">
        <w:t>anskelig påvise noen statistisk signifikant</w:t>
      </w:r>
      <w:r>
        <w:t xml:space="preserve"> sammenheng mellom hvilke utdanning studentene har gjennomfør</w:t>
      </w:r>
      <w:r w:rsidR="00E2366B">
        <w:t>t ved HiOA</w:t>
      </w:r>
      <w:r>
        <w:t xml:space="preserve">, og deres mestringsforventning i forhold til å kunne organisere en meningsfull yrkesopplæring for elever med ulike yrkesinteresser eller hvor godt de opplever å være forberedt til dette arbeidet. </w:t>
      </w:r>
    </w:p>
    <w:p w:rsidR="008018EE" w:rsidRPr="008018EE" w:rsidRDefault="008018EE" w:rsidP="008018EE">
      <w:pPr>
        <w:pStyle w:val="Overskrift1"/>
        <w:rPr>
          <w:lang w:val="en-US"/>
        </w:rPr>
      </w:pPr>
      <w:r w:rsidRPr="008018EE">
        <w:rPr>
          <w:lang w:val="en-US"/>
        </w:rPr>
        <w:t>Litteraturliste</w:t>
      </w:r>
    </w:p>
    <w:p w:rsidR="008018EE" w:rsidRPr="006D4D67" w:rsidRDefault="008018EE" w:rsidP="008018EE">
      <w:pPr>
        <w:ind w:left="720" w:hanging="720"/>
        <w:rPr>
          <w:noProof/>
          <w:lang w:val="en-US"/>
        </w:rPr>
      </w:pPr>
      <w:r w:rsidRPr="00E95805">
        <w:fldChar w:fldCharType="begin"/>
      </w:r>
      <w:r w:rsidRPr="00F16FA4">
        <w:rPr>
          <w:lang w:val="en-US"/>
        </w:rPr>
        <w:instrText xml:space="preserve"> ADDIN EN.REFLIST </w:instrText>
      </w:r>
      <w:r w:rsidRPr="00E95805">
        <w:fldChar w:fldCharType="separate"/>
      </w:r>
      <w:bookmarkStart w:id="1" w:name="_ENREF_1"/>
      <w:r w:rsidRPr="006D4D67">
        <w:rPr>
          <w:noProof/>
          <w:lang w:val="en-US"/>
        </w:rPr>
        <w:t xml:space="preserve">Bandura, A. (1995). </w:t>
      </w:r>
      <w:r w:rsidRPr="006D4D67">
        <w:rPr>
          <w:i/>
          <w:noProof/>
          <w:lang w:val="en-US"/>
        </w:rPr>
        <w:t>Self-efficacy in changing societies</w:t>
      </w:r>
      <w:r w:rsidRPr="006D4D67">
        <w:rPr>
          <w:noProof/>
          <w:lang w:val="en-US"/>
        </w:rPr>
        <w:t>. Cambridge: Cambridge University Press.</w:t>
      </w:r>
      <w:bookmarkEnd w:id="1"/>
    </w:p>
    <w:p w:rsidR="008018EE" w:rsidRPr="006D4D67" w:rsidRDefault="008018EE" w:rsidP="008018EE">
      <w:pPr>
        <w:ind w:left="720" w:hanging="720"/>
        <w:rPr>
          <w:noProof/>
          <w:lang w:val="en-US"/>
        </w:rPr>
      </w:pPr>
      <w:bookmarkStart w:id="2" w:name="_ENREF_2"/>
      <w:r w:rsidRPr="006D4D67">
        <w:rPr>
          <w:noProof/>
          <w:lang w:val="en-US"/>
        </w:rPr>
        <w:t xml:space="preserve">Bandura, A. (1997). </w:t>
      </w:r>
      <w:r w:rsidRPr="006D4D67">
        <w:rPr>
          <w:i/>
          <w:noProof/>
          <w:lang w:val="en-US"/>
        </w:rPr>
        <w:t>Self-efficacy: the exercise of control</w:t>
      </w:r>
      <w:r w:rsidRPr="006D4D67">
        <w:rPr>
          <w:noProof/>
          <w:lang w:val="en-US"/>
        </w:rPr>
        <w:t>. New York: Freeman.</w:t>
      </w:r>
      <w:bookmarkEnd w:id="2"/>
    </w:p>
    <w:p w:rsidR="008018EE" w:rsidRPr="0066320F" w:rsidRDefault="008018EE" w:rsidP="008018EE">
      <w:pPr>
        <w:ind w:left="720" w:hanging="720"/>
        <w:rPr>
          <w:noProof/>
          <w:lang w:val="en-US"/>
        </w:rPr>
      </w:pPr>
      <w:bookmarkStart w:id="3" w:name="_ENREF_3"/>
      <w:r w:rsidRPr="006D4D67">
        <w:rPr>
          <w:noProof/>
          <w:lang w:val="en-US"/>
        </w:rPr>
        <w:t xml:space="preserve">Dahlback, J., Hansen, K., Haaland, G., &amp; Sylte, A. L. (2010). </w:t>
      </w:r>
      <w:r w:rsidRPr="0066320F">
        <w:rPr>
          <w:noProof/>
          <w:lang w:val="en-US"/>
        </w:rPr>
        <w:t>Veien til yrkesrelevant opplæring fra første dag i Vg1 : Sluttrapport. Høgskolen i Akershus.</w:t>
      </w:r>
      <w:bookmarkEnd w:id="3"/>
    </w:p>
    <w:p w:rsidR="008018EE" w:rsidRPr="006D4D67" w:rsidRDefault="008018EE" w:rsidP="008018EE">
      <w:pPr>
        <w:ind w:left="720" w:hanging="720"/>
        <w:rPr>
          <w:noProof/>
          <w:lang w:val="en-US"/>
        </w:rPr>
      </w:pPr>
      <w:bookmarkStart w:id="4" w:name="_ENREF_4"/>
      <w:r w:rsidRPr="0066320F">
        <w:rPr>
          <w:noProof/>
          <w:lang w:val="en-US"/>
        </w:rPr>
        <w:t xml:space="preserve">Deichman-Sørensen, T. (2009). </w:t>
      </w:r>
      <w:r w:rsidRPr="0066320F">
        <w:rPr>
          <w:i/>
          <w:noProof/>
          <w:lang w:val="en-US"/>
        </w:rPr>
        <w:t>Hvor går norsk fag- og yrkesopplæring?: om modernisering, organisering og styring av fag- og yrkesopplæringen i Norge : utvalgte momenter for yrkesfaglærere</w:t>
      </w:r>
      <w:r w:rsidRPr="0066320F">
        <w:rPr>
          <w:noProof/>
          <w:lang w:val="en-US"/>
        </w:rPr>
        <w:t xml:space="preserve"> (Vol. nr 3/2009). </w:t>
      </w:r>
      <w:r w:rsidRPr="006D4D67">
        <w:rPr>
          <w:noProof/>
          <w:lang w:val="en-US"/>
        </w:rPr>
        <w:t>Lillestrøm: Høgskolen.</w:t>
      </w:r>
      <w:bookmarkEnd w:id="4"/>
    </w:p>
    <w:p w:rsidR="008018EE" w:rsidRPr="006D4D67" w:rsidRDefault="008018EE" w:rsidP="008018EE">
      <w:pPr>
        <w:ind w:left="720" w:hanging="720"/>
        <w:rPr>
          <w:noProof/>
          <w:lang w:val="en-US"/>
        </w:rPr>
      </w:pPr>
      <w:bookmarkStart w:id="5" w:name="_ENREF_5"/>
      <w:r w:rsidRPr="006D4D67">
        <w:rPr>
          <w:noProof/>
          <w:lang w:val="en-US"/>
        </w:rPr>
        <w:t xml:space="preserve">Henson, R. K. (2001). </w:t>
      </w:r>
      <w:r w:rsidRPr="006D4D67">
        <w:rPr>
          <w:i/>
          <w:noProof/>
          <w:lang w:val="en-US"/>
        </w:rPr>
        <w:t>Teacher Self-Efficacy: Substantive Implications and Measurement Dilemmas</w:t>
      </w:r>
      <w:r w:rsidRPr="006D4D67">
        <w:rPr>
          <w:noProof/>
          <w:lang w:val="en-US"/>
        </w:rPr>
        <w:t>. Paper presented at the Annual meeting of the Educational Research Exchange,</w:t>
      </w:r>
    </w:p>
    <w:p w:rsidR="008018EE" w:rsidRPr="006D4D67" w:rsidRDefault="008018EE" w:rsidP="008018EE">
      <w:pPr>
        <w:ind w:left="720" w:hanging="720"/>
        <w:rPr>
          <w:noProof/>
          <w:lang w:val="nn-NO"/>
        </w:rPr>
      </w:pPr>
      <w:r w:rsidRPr="006D4D67">
        <w:rPr>
          <w:noProof/>
          <w:lang w:val="nn-NO"/>
        </w:rPr>
        <w:t xml:space="preserve">January 26, 2001, . </w:t>
      </w:r>
      <w:bookmarkEnd w:id="5"/>
    </w:p>
    <w:p w:rsidR="008018EE" w:rsidRPr="006D4D67" w:rsidRDefault="008018EE" w:rsidP="008018EE">
      <w:pPr>
        <w:ind w:left="720" w:hanging="720"/>
        <w:rPr>
          <w:noProof/>
          <w:lang w:val="nn-NO"/>
        </w:rPr>
      </w:pPr>
      <w:bookmarkStart w:id="6" w:name="_ENREF_6"/>
      <w:r w:rsidRPr="006D4D67">
        <w:rPr>
          <w:noProof/>
          <w:lang w:val="nn-NO"/>
        </w:rPr>
        <w:t xml:space="preserve">Johannessen, A. (2007). </w:t>
      </w:r>
      <w:r w:rsidRPr="006D4D67">
        <w:rPr>
          <w:i/>
          <w:noProof/>
          <w:lang w:val="nn-NO"/>
        </w:rPr>
        <w:t>Introduksjon til SPSS: versjon 14, 15 og 16</w:t>
      </w:r>
      <w:r w:rsidRPr="006D4D67">
        <w:rPr>
          <w:noProof/>
          <w:lang w:val="nn-NO"/>
        </w:rPr>
        <w:t>. Oslo: Abstrakt forl.</w:t>
      </w:r>
      <w:bookmarkEnd w:id="6"/>
    </w:p>
    <w:p w:rsidR="008018EE" w:rsidRPr="006D4D67" w:rsidRDefault="008018EE" w:rsidP="008018EE">
      <w:pPr>
        <w:ind w:left="720" w:hanging="720"/>
        <w:rPr>
          <w:noProof/>
        </w:rPr>
      </w:pPr>
      <w:bookmarkStart w:id="7" w:name="_ENREF_7"/>
      <w:r w:rsidRPr="006D4D67">
        <w:rPr>
          <w:noProof/>
          <w:lang w:val="nn-NO"/>
        </w:rPr>
        <w:t xml:space="preserve">Lov om grunnskolen og den vidaregåande opplæringa (opplæringslova). </w:t>
      </w:r>
      <w:r w:rsidRPr="006D4D67">
        <w:rPr>
          <w:noProof/>
        </w:rPr>
        <w:t>(2008 ).</w:t>
      </w:r>
      <w:bookmarkEnd w:id="7"/>
    </w:p>
    <w:p w:rsidR="008018EE" w:rsidRPr="006D4D67" w:rsidRDefault="008018EE" w:rsidP="008018EE">
      <w:pPr>
        <w:ind w:left="720" w:hanging="720"/>
        <w:rPr>
          <w:noProof/>
          <w:lang w:val="nn-NO"/>
        </w:rPr>
      </w:pPr>
      <w:bookmarkStart w:id="8" w:name="_ENREF_8"/>
      <w:r w:rsidRPr="006D4D67">
        <w:rPr>
          <w:noProof/>
        </w:rPr>
        <w:t xml:space="preserve">Ringdal, K. (2009). </w:t>
      </w:r>
      <w:r w:rsidRPr="006D4D67">
        <w:rPr>
          <w:i/>
          <w:noProof/>
        </w:rPr>
        <w:t>Enhet og mangfold: samfunnsvitenskapelig forskning og kvantitativ metode</w:t>
      </w:r>
      <w:r w:rsidRPr="006D4D67">
        <w:rPr>
          <w:noProof/>
        </w:rPr>
        <w:t xml:space="preserve"> (Vol. 2). </w:t>
      </w:r>
      <w:r w:rsidRPr="006D4D67">
        <w:rPr>
          <w:noProof/>
          <w:lang w:val="nn-NO"/>
        </w:rPr>
        <w:t>Bergen: Fagbokforl.</w:t>
      </w:r>
      <w:bookmarkEnd w:id="8"/>
    </w:p>
    <w:p w:rsidR="008018EE" w:rsidRPr="006D4D67" w:rsidRDefault="008018EE" w:rsidP="008018EE">
      <w:pPr>
        <w:ind w:left="720" w:hanging="720"/>
        <w:rPr>
          <w:noProof/>
          <w:lang w:val="nn-NO"/>
        </w:rPr>
      </w:pPr>
      <w:bookmarkStart w:id="9" w:name="_ENREF_9"/>
      <w:r w:rsidRPr="006D4D67">
        <w:rPr>
          <w:noProof/>
          <w:lang w:val="nn-NO"/>
        </w:rPr>
        <w:t xml:space="preserve">Sannes, R. (2004). Dataanalyse og statistikk - kvantitativ tilnærming Available from </w:t>
      </w:r>
      <w:hyperlink r:id="rId12" w:history="1">
        <w:r w:rsidRPr="006D4D67">
          <w:rPr>
            <w:rStyle w:val="Hyperkobling"/>
            <w:noProof/>
            <w:lang w:val="nn-NO"/>
          </w:rPr>
          <w:t>http://home.bi.no/fgl88001/metode/Kvantitativ_datanalyse_v3-11.pdf</w:t>
        </w:r>
        <w:bookmarkEnd w:id="9"/>
      </w:hyperlink>
    </w:p>
    <w:p w:rsidR="008018EE" w:rsidRPr="006D4D67" w:rsidRDefault="008018EE" w:rsidP="008018EE">
      <w:pPr>
        <w:ind w:left="720" w:hanging="720"/>
        <w:rPr>
          <w:noProof/>
        </w:rPr>
      </w:pPr>
      <w:bookmarkStart w:id="10" w:name="_ENREF_10"/>
      <w:r w:rsidRPr="006D4D67">
        <w:rPr>
          <w:noProof/>
          <w:lang w:val="nn-NO"/>
        </w:rPr>
        <w:t xml:space="preserve">St.meld. nr. 11 (2008-2009). </w:t>
      </w:r>
      <w:r w:rsidRPr="006D4D67">
        <w:rPr>
          <w:i/>
          <w:noProof/>
        </w:rPr>
        <w:t>Læreren Rollen og utdanningen</w:t>
      </w:r>
      <w:r w:rsidRPr="006D4D67">
        <w:rPr>
          <w:noProof/>
        </w:rPr>
        <w:t>.</w:t>
      </w:r>
      <w:bookmarkEnd w:id="10"/>
    </w:p>
    <w:p w:rsidR="008018EE" w:rsidRPr="006D4D67" w:rsidRDefault="008018EE" w:rsidP="008018EE">
      <w:pPr>
        <w:ind w:left="720" w:hanging="720"/>
        <w:rPr>
          <w:noProof/>
          <w:lang w:val="en-US"/>
        </w:rPr>
      </w:pPr>
      <w:bookmarkStart w:id="11" w:name="_ENREF_11"/>
      <w:r w:rsidRPr="006D4D67">
        <w:rPr>
          <w:noProof/>
        </w:rPr>
        <w:t xml:space="preserve">Sund, G. H. (2005). </w:t>
      </w:r>
      <w:r w:rsidRPr="006D4D67">
        <w:rPr>
          <w:i/>
          <w:noProof/>
        </w:rPr>
        <w:t>Forskjellighet og mangfold - muligheter eller begrensninger for individ og arbeidsplass?: et aksjonsforskningsprosjekt med studier av læring i daglig arbeid, gjennom medvirkning, demokratiske prosesser og interessedifferensiering.</w:t>
      </w:r>
      <w:r w:rsidRPr="006D4D67">
        <w:rPr>
          <w:noProof/>
        </w:rPr>
        <w:t xml:space="preserve"> </w:t>
      </w:r>
      <w:r w:rsidRPr="006D4D67">
        <w:rPr>
          <w:noProof/>
          <w:lang w:val="en-US"/>
        </w:rPr>
        <w:t>Roskilde Universitetscenter. Forskerskolen Livslang Læring, Roskilde.</w:t>
      </w:r>
      <w:bookmarkEnd w:id="11"/>
    </w:p>
    <w:p w:rsidR="008018EE" w:rsidRPr="006D4D67" w:rsidRDefault="008018EE" w:rsidP="008018EE">
      <w:pPr>
        <w:ind w:left="720" w:hanging="720"/>
        <w:rPr>
          <w:noProof/>
          <w:lang w:val="en-US"/>
        </w:rPr>
      </w:pPr>
      <w:bookmarkStart w:id="12" w:name="_ENREF_12"/>
      <w:r w:rsidRPr="006D4D67">
        <w:rPr>
          <w:noProof/>
          <w:lang w:val="en-US"/>
        </w:rPr>
        <w:t xml:space="preserve">Zimmermann, B. (1995). Self-efficacy and educational development. In A. Bandura (Ed.), </w:t>
      </w:r>
      <w:r w:rsidRPr="006D4D67">
        <w:rPr>
          <w:i/>
          <w:noProof/>
          <w:lang w:val="en-US"/>
        </w:rPr>
        <w:t>Self-efficacy in changing societies</w:t>
      </w:r>
      <w:r w:rsidRPr="006D4D67">
        <w:rPr>
          <w:noProof/>
          <w:lang w:val="en-US"/>
        </w:rPr>
        <w:t>. New York: Cambridge University Press.</w:t>
      </w:r>
      <w:bookmarkEnd w:id="12"/>
    </w:p>
    <w:p w:rsidR="008018EE" w:rsidRDefault="008018EE" w:rsidP="008018EE">
      <w:pPr>
        <w:rPr>
          <w:noProof/>
          <w:lang w:val="en-US"/>
        </w:rPr>
      </w:pPr>
    </w:p>
    <w:p w:rsidR="008018EE" w:rsidRDefault="008018EE" w:rsidP="008018EE">
      <w:pPr>
        <w:spacing w:line="276" w:lineRule="auto"/>
      </w:pPr>
      <w:r w:rsidRPr="00E95805">
        <w:fldChar w:fldCharType="end"/>
      </w:r>
    </w:p>
    <w:p w:rsidR="008018EE" w:rsidRDefault="008018EE" w:rsidP="008018EE">
      <w:pPr>
        <w:spacing w:line="276" w:lineRule="auto"/>
      </w:pPr>
    </w:p>
    <w:p w:rsidR="008018EE" w:rsidRDefault="008018EE" w:rsidP="008018EE">
      <w:pPr>
        <w:spacing w:line="276" w:lineRule="auto"/>
      </w:pPr>
    </w:p>
    <w:p w:rsidR="008018EE" w:rsidRDefault="008018EE" w:rsidP="008018EE">
      <w:pPr>
        <w:spacing w:line="276" w:lineRule="auto"/>
      </w:pPr>
    </w:p>
    <w:p w:rsidR="008018EE" w:rsidRDefault="008018EE" w:rsidP="008018EE">
      <w:pPr>
        <w:spacing w:line="276" w:lineRule="auto"/>
      </w:pPr>
    </w:p>
    <w:p w:rsidR="0066320F" w:rsidRDefault="0066320F" w:rsidP="008018EE">
      <w:pPr>
        <w:spacing w:line="276" w:lineRule="auto"/>
      </w:pPr>
    </w:p>
    <w:p w:rsidR="0066320F" w:rsidRDefault="0066320F" w:rsidP="008018EE">
      <w:pPr>
        <w:spacing w:line="276" w:lineRule="auto"/>
      </w:pPr>
    </w:p>
    <w:p w:rsidR="0066320F" w:rsidRDefault="0066320F" w:rsidP="008018EE">
      <w:pPr>
        <w:spacing w:line="276" w:lineRule="auto"/>
      </w:pPr>
    </w:p>
    <w:p w:rsidR="0066320F" w:rsidRDefault="0066320F" w:rsidP="008018EE">
      <w:pPr>
        <w:spacing w:line="276" w:lineRule="auto"/>
      </w:pPr>
    </w:p>
    <w:p w:rsidR="0066320F" w:rsidRDefault="0066320F" w:rsidP="008018EE">
      <w:pPr>
        <w:spacing w:line="276" w:lineRule="auto"/>
      </w:pPr>
    </w:p>
    <w:p w:rsidR="0066320F" w:rsidRDefault="0066320F" w:rsidP="008018EE">
      <w:pPr>
        <w:spacing w:line="276" w:lineRule="auto"/>
      </w:pPr>
    </w:p>
    <w:p w:rsidR="0066320F" w:rsidRDefault="0066320F" w:rsidP="008018EE">
      <w:pPr>
        <w:spacing w:line="276" w:lineRule="auto"/>
      </w:pPr>
    </w:p>
    <w:p w:rsidR="0066320F" w:rsidRDefault="0066320F" w:rsidP="008018EE">
      <w:pPr>
        <w:spacing w:line="276" w:lineRule="auto"/>
      </w:pPr>
    </w:p>
    <w:p w:rsidR="008018EE" w:rsidRDefault="008018EE" w:rsidP="008018EE">
      <w:pPr>
        <w:spacing w:line="276" w:lineRule="auto"/>
      </w:pPr>
    </w:p>
    <w:p w:rsidR="008018EE" w:rsidRPr="00C409DC" w:rsidRDefault="00C409DC" w:rsidP="008018EE">
      <w:pPr>
        <w:spacing w:line="276" w:lineRule="auto"/>
      </w:pPr>
      <w:r w:rsidRPr="00C409DC">
        <w:lastRenderedPageBreak/>
        <w:t>Ve</w:t>
      </w:r>
      <w:r w:rsidR="008018EE" w:rsidRPr="00C409DC">
        <w:t>dlegg 1.</w:t>
      </w:r>
    </w:p>
    <w:p w:rsidR="008018EE" w:rsidRDefault="008018EE" w:rsidP="008018EE">
      <w:pPr>
        <w:spacing w:line="276" w:lineRule="auto"/>
        <w:rPr>
          <w:lang w:val="en-US"/>
        </w:rPr>
      </w:pPr>
      <w:r>
        <w:rPr>
          <w:lang w:val="en-US"/>
        </w:rPr>
        <w:t xml:space="preserve">                                </w:t>
      </w:r>
      <w:r w:rsidRPr="00815377">
        <w:rPr>
          <w:noProof/>
        </w:rPr>
        <w:drawing>
          <wp:inline distT="0" distB="0" distL="0" distR="0">
            <wp:extent cx="4386244" cy="7315200"/>
            <wp:effectExtent l="19050" t="0" r="0" b="0"/>
            <wp:docPr id="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84794" cy="7312782"/>
                    </a:xfrm>
                    <a:prstGeom prst="rect">
                      <a:avLst/>
                    </a:prstGeom>
                    <a:noFill/>
                    <a:ln w="9525">
                      <a:noFill/>
                      <a:miter lim="800000"/>
                      <a:headEnd/>
                      <a:tailEnd/>
                    </a:ln>
                  </pic:spPr>
                </pic:pic>
              </a:graphicData>
            </a:graphic>
          </wp:inline>
        </w:drawing>
      </w:r>
    </w:p>
    <w:p w:rsidR="008018EE" w:rsidRPr="00FD4438" w:rsidRDefault="008018EE" w:rsidP="008018EE">
      <w:pPr>
        <w:spacing w:line="276" w:lineRule="auto"/>
        <w:rPr>
          <w:lang w:val="en-US"/>
        </w:rPr>
      </w:pPr>
    </w:p>
    <w:p w:rsidR="008018EE" w:rsidRDefault="008018EE" w:rsidP="008018EE"/>
    <w:p w:rsidR="00BD582D" w:rsidRDefault="00BD582D"/>
    <w:sectPr w:rsidR="00BD582D" w:rsidSect="008018EE">
      <w:footerReference w:type="default" r:id="rId14"/>
      <w:pgSz w:w="11906" w:h="16838"/>
      <w:pgMar w:top="1134" w:right="851"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BB" w:rsidRDefault="00D609BB">
      <w:r>
        <w:separator/>
      </w:r>
    </w:p>
  </w:endnote>
  <w:endnote w:type="continuationSeparator" w:id="0">
    <w:p w:rsidR="00D609BB" w:rsidRDefault="00D6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91173"/>
      <w:docPartObj>
        <w:docPartGallery w:val="Page Numbers (Bottom of Page)"/>
        <w:docPartUnique/>
      </w:docPartObj>
    </w:sdtPr>
    <w:sdtEndPr/>
    <w:sdtContent>
      <w:p w:rsidR="00D609BB" w:rsidRDefault="00D609BB">
        <w:pPr>
          <w:pStyle w:val="Bunntekst"/>
          <w:jc w:val="right"/>
        </w:pPr>
        <w:r>
          <w:fldChar w:fldCharType="begin"/>
        </w:r>
        <w:r>
          <w:instrText xml:space="preserve"> PAGE   \* MERGEFORMAT </w:instrText>
        </w:r>
        <w:r>
          <w:fldChar w:fldCharType="separate"/>
        </w:r>
        <w:r w:rsidR="008D2C5B">
          <w:rPr>
            <w:noProof/>
          </w:rPr>
          <w:t>2</w:t>
        </w:r>
        <w:r>
          <w:rPr>
            <w:noProof/>
          </w:rPr>
          <w:fldChar w:fldCharType="end"/>
        </w:r>
      </w:p>
    </w:sdtContent>
  </w:sdt>
  <w:p w:rsidR="00D609BB" w:rsidRDefault="00D609B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BB" w:rsidRDefault="00D609BB">
      <w:r>
        <w:separator/>
      </w:r>
    </w:p>
  </w:footnote>
  <w:footnote w:type="continuationSeparator" w:id="0">
    <w:p w:rsidR="00D609BB" w:rsidRDefault="00D60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E27"/>
    <w:multiLevelType w:val="hybridMultilevel"/>
    <w:tmpl w:val="DC568446"/>
    <w:lvl w:ilvl="0" w:tplc="CAE07F1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4AED3A28"/>
    <w:multiLevelType w:val="hybridMultilevel"/>
    <w:tmpl w:val="BA943EC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5FF86F2B"/>
    <w:multiLevelType w:val="hybridMultilevel"/>
    <w:tmpl w:val="34400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7FE4C67"/>
    <w:multiLevelType w:val="hybridMultilevel"/>
    <w:tmpl w:val="CB2613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75FF0848"/>
    <w:multiLevelType w:val="hybridMultilevel"/>
    <w:tmpl w:val="2B3602B4"/>
    <w:lvl w:ilvl="0" w:tplc="48BE0EE0">
      <w:start w:val="1"/>
      <w:numFmt w:val="decimal"/>
      <w:lvlText w:val="%1."/>
      <w:lvlJc w:val="left"/>
      <w:pPr>
        <w:ind w:left="360" w:hanging="360"/>
      </w:pPr>
      <w:rPr>
        <w:rFonts w:hint="default"/>
        <w:b/>
        <w: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EE"/>
    <w:rsid w:val="00036278"/>
    <w:rsid w:val="000A528A"/>
    <w:rsid w:val="00206B0F"/>
    <w:rsid w:val="002B684D"/>
    <w:rsid w:val="005C6884"/>
    <w:rsid w:val="0063095B"/>
    <w:rsid w:val="0066320F"/>
    <w:rsid w:val="00685245"/>
    <w:rsid w:val="00693C75"/>
    <w:rsid w:val="008018EE"/>
    <w:rsid w:val="008549B5"/>
    <w:rsid w:val="008A2960"/>
    <w:rsid w:val="008D1A63"/>
    <w:rsid w:val="008D2C5B"/>
    <w:rsid w:val="008F4862"/>
    <w:rsid w:val="00A15DF1"/>
    <w:rsid w:val="00BD582D"/>
    <w:rsid w:val="00C409DC"/>
    <w:rsid w:val="00CD68A0"/>
    <w:rsid w:val="00CE26D2"/>
    <w:rsid w:val="00D56BC1"/>
    <w:rsid w:val="00D609BB"/>
    <w:rsid w:val="00DE2BCA"/>
    <w:rsid w:val="00DE465B"/>
    <w:rsid w:val="00E2271A"/>
    <w:rsid w:val="00E2366B"/>
    <w:rsid w:val="00E311F6"/>
    <w:rsid w:val="00EA57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EE"/>
    <w:rPr>
      <w:sz w:val="24"/>
      <w:szCs w:val="24"/>
    </w:rPr>
  </w:style>
  <w:style w:type="paragraph" w:styleId="Overskrift1">
    <w:name w:val="heading 1"/>
    <w:basedOn w:val="Normal"/>
    <w:next w:val="Normal"/>
    <w:link w:val="Overskrift1Tegn"/>
    <w:qFormat/>
    <w:rsid w:val="00801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018EE"/>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qFormat/>
    <w:rsid w:val="008018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8018E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018EE"/>
    <w:pPr>
      <w:ind w:left="720"/>
      <w:contextualSpacing/>
    </w:pPr>
  </w:style>
  <w:style w:type="paragraph" w:styleId="Bunntekst">
    <w:name w:val="footer"/>
    <w:basedOn w:val="Normal"/>
    <w:link w:val="BunntekstTegn"/>
    <w:uiPriority w:val="99"/>
    <w:rsid w:val="008018EE"/>
    <w:pPr>
      <w:tabs>
        <w:tab w:val="center" w:pos="4536"/>
        <w:tab w:val="right" w:pos="9072"/>
      </w:tabs>
    </w:pPr>
  </w:style>
  <w:style w:type="character" w:customStyle="1" w:styleId="BunntekstTegn">
    <w:name w:val="Bunntekst Tegn"/>
    <w:basedOn w:val="Standardskriftforavsnitt"/>
    <w:link w:val="Bunntekst"/>
    <w:uiPriority w:val="99"/>
    <w:rsid w:val="008018EE"/>
    <w:rPr>
      <w:sz w:val="24"/>
      <w:szCs w:val="24"/>
    </w:rPr>
  </w:style>
  <w:style w:type="paragraph" w:styleId="Undertittel">
    <w:name w:val="Subtitle"/>
    <w:basedOn w:val="Normal"/>
    <w:next w:val="Normal"/>
    <w:link w:val="UndertittelTegn"/>
    <w:qFormat/>
    <w:rsid w:val="008018EE"/>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8018EE"/>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rsid w:val="008018EE"/>
    <w:rPr>
      <w:color w:val="0000FF" w:themeColor="hyperlink"/>
      <w:u w:val="single"/>
    </w:rPr>
  </w:style>
  <w:style w:type="character" w:styleId="Sterkutheving">
    <w:name w:val="Intense Emphasis"/>
    <w:basedOn w:val="Standardskriftforavsnitt"/>
    <w:uiPriority w:val="21"/>
    <w:qFormat/>
    <w:rsid w:val="008018EE"/>
    <w:rPr>
      <w:b/>
      <w:bCs/>
      <w:i/>
      <w:iCs/>
      <w:color w:val="4F81BD" w:themeColor="accent1"/>
    </w:rPr>
  </w:style>
  <w:style w:type="paragraph" w:styleId="Bobletekst">
    <w:name w:val="Balloon Text"/>
    <w:basedOn w:val="Normal"/>
    <w:link w:val="BobletekstTegn"/>
    <w:rsid w:val="008018EE"/>
    <w:rPr>
      <w:rFonts w:ascii="Tahoma" w:hAnsi="Tahoma" w:cs="Tahoma"/>
      <w:sz w:val="16"/>
      <w:szCs w:val="16"/>
    </w:rPr>
  </w:style>
  <w:style w:type="character" w:customStyle="1" w:styleId="BobletekstTegn">
    <w:name w:val="Bobletekst Tegn"/>
    <w:basedOn w:val="Standardskriftforavsnitt"/>
    <w:link w:val="Bobletekst"/>
    <w:rsid w:val="008018EE"/>
    <w:rPr>
      <w:rFonts w:ascii="Tahoma" w:hAnsi="Tahoma" w:cs="Tahoma"/>
      <w:sz w:val="16"/>
      <w:szCs w:val="16"/>
    </w:rPr>
  </w:style>
  <w:style w:type="table" w:styleId="Tabellrutenett">
    <w:name w:val="Table Grid"/>
    <w:basedOn w:val="Vanligtabell"/>
    <w:rsid w:val="00801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wrap1">
    <w:name w:val="iewrap1"/>
    <w:basedOn w:val="Standardskriftforavsnitt"/>
    <w:rsid w:val="008018EE"/>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EE"/>
    <w:rPr>
      <w:sz w:val="24"/>
      <w:szCs w:val="24"/>
    </w:rPr>
  </w:style>
  <w:style w:type="paragraph" w:styleId="Overskrift1">
    <w:name w:val="heading 1"/>
    <w:basedOn w:val="Normal"/>
    <w:next w:val="Normal"/>
    <w:link w:val="Overskrift1Tegn"/>
    <w:qFormat/>
    <w:rsid w:val="00801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018EE"/>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qFormat/>
    <w:rsid w:val="008018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8018E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018EE"/>
    <w:pPr>
      <w:ind w:left="720"/>
      <w:contextualSpacing/>
    </w:pPr>
  </w:style>
  <w:style w:type="paragraph" w:styleId="Bunntekst">
    <w:name w:val="footer"/>
    <w:basedOn w:val="Normal"/>
    <w:link w:val="BunntekstTegn"/>
    <w:uiPriority w:val="99"/>
    <w:rsid w:val="008018EE"/>
    <w:pPr>
      <w:tabs>
        <w:tab w:val="center" w:pos="4536"/>
        <w:tab w:val="right" w:pos="9072"/>
      </w:tabs>
    </w:pPr>
  </w:style>
  <w:style w:type="character" w:customStyle="1" w:styleId="BunntekstTegn">
    <w:name w:val="Bunntekst Tegn"/>
    <w:basedOn w:val="Standardskriftforavsnitt"/>
    <w:link w:val="Bunntekst"/>
    <w:uiPriority w:val="99"/>
    <w:rsid w:val="008018EE"/>
    <w:rPr>
      <w:sz w:val="24"/>
      <w:szCs w:val="24"/>
    </w:rPr>
  </w:style>
  <w:style w:type="paragraph" w:styleId="Undertittel">
    <w:name w:val="Subtitle"/>
    <w:basedOn w:val="Normal"/>
    <w:next w:val="Normal"/>
    <w:link w:val="UndertittelTegn"/>
    <w:qFormat/>
    <w:rsid w:val="008018EE"/>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8018EE"/>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rsid w:val="008018EE"/>
    <w:rPr>
      <w:color w:val="0000FF" w:themeColor="hyperlink"/>
      <w:u w:val="single"/>
    </w:rPr>
  </w:style>
  <w:style w:type="character" w:styleId="Sterkutheving">
    <w:name w:val="Intense Emphasis"/>
    <w:basedOn w:val="Standardskriftforavsnitt"/>
    <w:uiPriority w:val="21"/>
    <w:qFormat/>
    <w:rsid w:val="008018EE"/>
    <w:rPr>
      <w:b/>
      <w:bCs/>
      <w:i/>
      <w:iCs/>
      <w:color w:val="4F81BD" w:themeColor="accent1"/>
    </w:rPr>
  </w:style>
  <w:style w:type="paragraph" w:styleId="Bobletekst">
    <w:name w:val="Balloon Text"/>
    <w:basedOn w:val="Normal"/>
    <w:link w:val="BobletekstTegn"/>
    <w:rsid w:val="008018EE"/>
    <w:rPr>
      <w:rFonts w:ascii="Tahoma" w:hAnsi="Tahoma" w:cs="Tahoma"/>
      <w:sz w:val="16"/>
      <w:szCs w:val="16"/>
    </w:rPr>
  </w:style>
  <w:style w:type="character" w:customStyle="1" w:styleId="BobletekstTegn">
    <w:name w:val="Bobletekst Tegn"/>
    <w:basedOn w:val="Standardskriftforavsnitt"/>
    <w:link w:val="Bobletekst"/>
    <w:rsid w:val="008018EE"/>
    <w:rPr>
      <w:rFonts w:ascii="Tahoma" w:hAnsi="Tahoma" w:cs="Tahoma"/>
      <w:sz w:val="16"/>
      <w:szCs w:val="16"/>
    </w:rPr>
  </w:style>
  <w:style w:type="table" w:styleId="Tabellrutenett">
    <w:name w:val="Table Grid"/>
    <w:basedOn w:val="Vanligtabell"/>
    <w:rsid w:val="00801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wrap1">
    <w:name w:val="iewrap1"/>
    <w:basedOn w:val="Standardskriftforavsnitt"/>
    <w:rsid w:val="008018E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bi.no/fgl88001/metode/Kvantitativ_datanalyse_v3-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6489</Words>
  <Characters>34393</Characters>
  <Application>Microsoft Office Word</Application>
  <DocSecurity>4</DocSecurity>
  <Lines>286</Lines>
  <Paragraphs>81</Paragraphs>
  <ScaleCrop>false</ScaleCrop>
  <HeadingPairs>
    <vt:vector size="2" baseType="variant">
      <vt:variant>
        <vt:lpstr>Tittel</vt:lpstr>
      </vt:variant>
      <vt:variant>
        <vt:i4>1</vt:i4>
      </vt:variant>
    </vt:vector>
  </HeadingPairs>
  <TitlesOfParts>
    <vt:vector size="1" baseType="lpstr">
      <vt:lpstr/>
    </vt:vector>
  </TitlesOfParts>
  <Company>Høgskolen i Akershus</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hspetalen</dc:creator>
  <cp:lastModifiedBy>Jimi Thaule</cp:lastModifiedBy>
  <cp:revision>2</cp:revision>
  <dcterms:created xsi:type="dcterms:W3CDTF">2014-02-03T11:01:00Z</dcterms:created>
  <dcterms:modified xsi:type="dcterms:W3CDTF">2014-02-03T11:01:00Z</dcterms:modified>
</cp:coreProperties>
</file>